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r="http://schemas.openxmlformats.org/officeDocument/2006/relationships" xmlns:wp="http://schemas.openxmlformats.org/drawingml/2006/wordprocessingDrawing">
  <w:body>
    <w:p>
      <w:pPr>
        <w:spacing w:before="480" w:after="480" w:line="288" w:lineRule="auto"/>
        <w:ind w:left="0"/>
      </w:pPr>
      <w:r>
        <w:rPr>
          <w:rFonts w:eastAsia="等线" w:ascii="Arial" w:cs="Arial" w:hAnsi="Arial"/>
          <w:b w:val="true"/>
          <w:sz w:val="52"/>
        </w:rPr>
        <w:t>简思未来学习中心·学校安全运营平台服务手册</w:t>
      </w:r>
    </w:p>
    <w:p>
      <w:pPr>
        <w:pStyle w:val="2"/>
        <w:spacing w:before="320" w:after="120" w:line="288" w:lineRule="auto"/>
        <w:ind w:left="0"/>
        <w:jc w:val="left"/>
        <w:outlineLvl w:val="1"/>
      </w:pPr>
      <w:bookmarkStart w:name="heading_0" w:id="0"/>
      <w:r>
        <w:rPr>
          <w:rFonts w:eastAsia="等线" w:ascii="Arial" w:cs="Arial" w:hAnsi="Arial"/>
          <w:b w:val="true"/>
          <w:sz w:val="32"/>
        </w:rPr>
        <w:t>一、文档基础信息</w:t>
      </w:r>
      <w:bookmarkEnd w:id="0"/>
    </w:p>
    <w:p>
      <w:pPr>
        <w:spacing w:before="120" w:after="120" w:line="288" w:lineRule="auto"/>
        <w:ind w:left="0"/>
        <w:jc w:val="left"/>
      </w:pPr>
      <w:r>
        <w:rPr>
          <w:rFonts w:eastAsia="等线" w:ascii="Arial" w:cs="Arial" w:hAnsi="Arial"/>
          <w:b w:val="true"/>
          <w:sz w:val="22"/>
        </w:rPr>
        <w:t>文档版本：</w:t>
      </w:r>
      <w:r>
        <w:rPr>
          <w:rFonts w:eastAsia="等线" w:ascii="Arial" w:cs="Arial" w:hAnsi="Arial"/>
          <w:sz w:val="22"/>
        </w:rPr>
        <w:t>V1.0</w:t>
      </w:r>
    </w:p>
    <w:p>
      <w:pPr>
        <w:spacing w:before="120" w:after="120" w:line="288" w:lineRule="auto"/>
        <w:ind w:left="0"/>
        <w:jc w:val="left"/>
      </w:pPr>
      <w:r>
        <w:rPr>
          <w:rFonts w:eastAsia="等线" w:ascii="Arial" w:cs="Arial" w:hAnsi="Arial"/>
          <w:b w:val="true"/>
          <w:sz w:val="22"/>
        </w:rPr>
        <w:t>修订日期：</w:t>
      </w:r>
      <w:r>
        <w:rPr>
          <w:rFonts w:eastAsia="等线" w:ascii="Arial" w:cs="Arial" w:hAnsi="Arial"/>
          <w:sz w:val="22"/>
        </w:rPr>
        <w:t>2026年4月</w:t>
      </w:r>
    </w:p>
    <w:p>
      <w:pPr>
        <w:spacing w:before="120" w:after="120" w:line="288" w:lineRule="auto"/>
        <w:ind w:left="0"/>
        <w:jc w:val="left"/>
      </w:pPr>
      <w:r>
        <w:rPr>
          <w:rFonts w:eastAsia="等线" w:ascii="Arial" w:cs="Arial" w:hAnsi="Arial"/>
          <w:b w:val="true"/>
          <w:sz w:val="22"/>
        </w:rPr>
        <w:t>适用范围：</w:t>
      </w:r>
      <w:r>
        <w:rPr>
          <w:rFonts w:eastAsia="等线" w:ascii="Arial" w:cs="Arial" w:hAnsi="Arial"/>
          <w:sz w:val="22"/>
        </w:rPr>
        <w:t>合作校区校长、学管师、咨询师、教务管理员、行政管理人员等所有平台授权使用人员</w:t>
      </w:r>
    </w:p>
    <w:p>
      <w:pPr>
        <w:spacing w:before="120" w:after="120" w:line="288" w:lineRule="auto"/>
        <w:ind w:left="0"/>
        <w:jc w:val="left"/>
      </w:pPr>
      <w:r>
        <w:rPr>
          <w:rFonts w:eastAsia="等线" w:ascii="Arial" w:cs="Arial" w:hAnsi="Arial"/>
          <w:b w:val="true"/>
          <w:sz w:val="22"/>
        </w:rPr>
        <w:t>核心定位：</w:t>
      </w:r>
      <w:r>
        <w:rPr>
          <w:rFonts w:eastAsia="等线" w:ascii="Arial" w:cs="Arial" w:hAnsi="Arial"/>
          <w:sz w:val="22"/>
        </w:rPr>
        <w:t>本手册为简思智学云平台校级综合管理系统的操作规范，涵盖校区组织管理、权限管控、教学配置、数据分析、招生财务、运营监管、家校协同、系统安全等全场景能力，为线下小班教学校区提供标准化、数字化、安全化运营支撑。</w:t>
      </w:r>
    </w:p>
    <w:p>
      <w:pPr>
        <w:pStyle w:val="1"/>
        <w:spacing w:before="380" w:after="140" w:line="288" w:lineRule="auto"/>
        <w:ind w:left="0"/>
        <w:jc w:val="left"/>
        <w:outlineLvl w:val="0"/>
      </w:pPr>
      <w:bookmarkStart w:name="heading_1" w:id="1"/>
      <w:r>
        <w:rPr>
          <w:rFonts w:eastAsia="等线" w:ascii="Arial" w:cs="Arial" w:hAnsi="Arial"/>
          <w:b w:val="true"/>
          <w:sz w:val="36"/>
        </w:rPr>
        <w:t>前言</w:t>
      </w:r>
      <w:bookmarkEnd w:id="1"/>
    </w:p>
    <w:p>
      <w:pPr>
        <w:pStyle w:val="3"/>
        <w:spacing w:before="300" w:after="120" w:line="288" w:lineRule="auto"/>
        <w:ind w:left="0"/>
        <w:jc w:val="left"/>
        <w:outlineLvl w:val="2"/>
      </w:pPr>
      <w:bookmarkStart w:name="heading_2" w:id="2"/>
      <w:r>
        <w:rPr>
          <w:rFonts w:eastAsia="等线" w:ascii="Arial" w:cs="Arial" w:hAnsi="Arial"/>
          <w:b w:val="true"/>
          <w:sz w:val="30"/>
        </w:rPr>
        <w:t>第一节 核心定位</w:t>
      </w:r>
      <w:bookmarkEnd w:id="2"/>
    </w:p>
    <w:p>
      <w:pPr>
        <w:spacing w:before="120" w:after="120" w:line="288" w:lineRule="auto"/>
        <w:ind w:left="0"/>
        <w:jc w:val="left"/>
      </w:pPr>
      <w:r>
        <w:rPr>
          <w:rFonts w:eastAsia="等线" w:ascii="Arial" w:cs="Arial" w:hAnsi="Arial"/>
          <w:sz w:val="22"/>
        </w:rPr>
        <w:t>本平台为</w:t>
      </w:r>
      <w:r>
        <w:rPr>
          <w:rFonts w:eastAsia="等线" w:ascii="Arial" w:cs="Arial" w:hAnsi="Arial"/>
          <w:b w:val="true"/>
          <w:sz w:val="22"/>
        </w:rPr>
        <w:t>简思智学云平台</w:t>
      </w:r>
      <w:r>
        <w:rPr>
          <w:rFonts w:eastAsia="等线" w:ascii="Arial" w:cs="Arial" w:hAnsi="Arial"/>
          <w:sz w:val="22"/>
        </w:rPr>
        <w:t>校级综合管理系统，定位基础支撑与通用功能一体化载体，承载校区组织管理、权限管控、教学配置、数据分析、招生财务、运营监管、家校协同、系统安全等全场景能力，为线下小班教学校区提供标准化、数字化、安全化运营支撑，保障校区合规办学、数据安全、流程闭环、高效管理。</w:t>
      </w:r>
    </w:p>
    <w:p>
      <w:pPr>
        <w:pStyle w:val="3"/>
        <w:spacing w:before="300" w:after="120" w:line="288" w:lineRule="auto"/>
        <w:ind w:left="0"/>
        <w:jc w:val="left"/>
        <w:outlineLvl w:val="2"/>
      </w:pPr>
      <w:bookmarkStart w:name="heading_3" w:id="3"/>
      <w:r>
        <w:rPr>
          <w:rFonts w:eastAsia="等线" w:ascii="Arial" w:cs="Arial" w:hAnsi="Arial"/>
          <w:b w:val="true"/>
          <w:sz w:val="30"/>
        </w:rPr>
        <w:t>第二节 官方访问地址</w:t>
      </w:r>
      <w:bookmarkEnd w:id="3"/>
    </w:p>
    <w:p>
      <w:pPr>
        <w:spacing w:before="120" w:after="120" w:line="288" w:lineRule="auto"/>
        <w:ind w:left="0"/>
        <w:jc w:val="left"/>
      </w:pPr>
      <w:r>
        <w:rPr>
          <w:rFonts w:eastAsia="等线" w:ascii="Arial" w:cs="Arial" w:hAnsi="Arial"/>
          <w:sz w:val="22"/>
        </w:rPr>
        <w:t>简思智学云平台唯一官方登录地址：</w:t>
      </w:r>
      <w:hyperlink r:id="rId4">
        <w:r>
          <w:rPr>
            <w:rFonts w:eastAsia="等线" w:ascii="Arial" w:cs="Arial" w:hAnsi="Arial"/>
            <w:color w:val="3370ff"/>
            <w:sz w:val="22"/>
          </w:rPr>
          <w:t>https://platform.janusedu.cn/</w:t>
        </w:r>
      </w:hyperlink>
    </w:p>
    <w:p>
      <w:pPr>
        <w:spacing w:before="120" w:after="120" w:line="288" w:lineRule="auto"/>
        <w:ind w:left="0"/>
        <w:jc w:val="left"/>
      </w:pPr>
      <w:r>
        <w:rPr>
          <w:rFonts w:eastAsia="等线" w:ascii="Arial" w:cs="Arial" w:hAnsi="Arial"/>
          <w:i w:val="true"/>
          <w:color w:val="8f959e"/>
          <w:sz w:val="22"/>
        </w:rPr>
        <w:t>注：严禁通过非官方链接、陌生二维码、钓鱼网站登录，防范账号泄露与信息安全风险。</w:t>
      </w:r>
    </w:p>
    <w:p>
      <w:pPr>
        <w:pStyle w:val="3"/>
        <w:spacing w:before="300" w:after="120" w:line="288" w:lineRule="auto"/>
        <w:ind w:left="0"/>
        <w:jc w:val="left"/>
        <w:outlineLvl w:val="2"/>
      </w:pPr>
      <w:bookmarkStart w:name="heading_4" w:id="4"/>
      <w:r>
        <w:rPr>
          <w:rFonts w:eastAsia="等线" w:ascii="Arial" w:cs="Arial" w:hAnsi="Arial"/>
          <w:b w:val="true"/>
          <w:sz w:val="30"/>
        </w:rPr>
        <w:t>第三节 适用范围</w:t>
      </w:r>
      <w:bookmarkEnd w:id="4"/>
    </w:p>
    <w:p>
      <w:pPr>
        <w:spacing w:before="120" w:after="120" w:line="288" w:lineRule="auto"/>
        <w:ind w:left="0"/>
        <w:jc w:val="left"/>
      </w:pPr>
      <w:r>
        <w:rPr>
          <w:rFonts w:eastAsia="等线" w:ascii="Arial" w:cs="Arial" w:hAnsi="Arial"/>
          <w:sz w:val="22"/>
        </w:rPr>
        <w:t>本手册适用于合作校区校长、学管师、咨询师、教务管理员、行政管理人员等所有平台授权使用人员，规范平台操作流程、权限管理、功能使用及故障处理标准。</w:t>
      </w:r>
    </w:p>
    <w:p>
      <w:pPr>
        <w:pStyle w:val="1"/>
        <w:spacing w:before="380" w:after="140" w:line="288" w:lineRule="auto"/>
        <w:ind w:left="0"/>
        <w:jc w:val="left"/>
        <w:outlineLvl w:val="0"/>
      </w:pPr>
      <w:bookmarkStart w:name="heading_5" w:id="5"/>
      <w:r>
        <w:rPr>
          <w:rFonts w:eastAsia="等线" w:ascii="Arial" w:cs="Arial" w:hAnsi="Arial"/>
          <w:b w:val="true"/>
          <w:sz w:val="36"/>
        </w:rPr>
        <w:t>二、登录与账号管理规范</w:t>
      </w:r>
      <w:bookmarkEnd w:id="5"/>
    </w:p>
    <w:p>
      <w:pPr>
        <w:pStyle w:val="3"/>
        <w:spacing w:before="300" w:after="120" w:line="288" w:lineRule="auto"/>
        <w:ind w:left="0"/>
        <w:jc w:val="left"/>
        <w:outlineLvl w:val="2"/>
      </w:pPr>
      <w:bookmarkStart w:name="heading_6" w:id="6"/>
      <w:r>
        <w:rPr>
          <w:rFonts w:eastAsia="等线" w:ascii="Arial" w:cs="Arial" w:hAnsi="Arial"/>
          <w:b w:val="true"/>
          <w:sz w:val="30"/>
        </w:rPr>
        <w:t>第一节 注意事项</w:t>
      </w:r>
      <w:bookmarkEnd w:id="6"/>
    </w:p>
    <w:p>
      <w:pPr>
        <w:numPr>
          <w:numId w:val="1"/>
        </w:numPr>
        <w:spacing w:before="120" w:after="120" w:line="288" w:lineRule="auto"/>
        <w:ind w:left="0"/>
        <w:jc w:val="left"/>
      </w:pPr>
      <w:r>
        <w:rPr>
          <w:rFonts w:eastAsia="等线" w:ascii="Arial" w:cs="Arial" w:hAnsi="Arial"/>
          <w:sz w:val="22"/>
        </w:rPr>
        <w:t>首次登录密码为注册手机号后六位，建议登录之后及时修改密码。</w:t>
      </w:r>
    </w:p>
    <w:p>
      <w:pPr>
        <w:numPr>
          <w:numId w:val="2"/>
        </w:numPr>
        <w:spacing w:before="120" w:after="120" w:line="288" w:lineRule="auto"/>
        <w:ind w:left="0"/>
        <w:jc w:val="left"/>
      </w:pPr>
      <w:r>
        <w:rPr>
          <w:rFonts w:eastAsia="等线" w:ascii="Arial" w:cs="Arial" w:hAnsi="Arial"/>
          <w:sz w:val="22"/>
        </w:rPr>
        <w:t>点击右上角头像进入个人中心，点击修改密码输入旧密码进行更改。</w:t>
      </w:r>
    </w:p>
    <w:p>
      <w:pPr>
        <w:numPr>
          <w:numId w:val="3"/>
        </w:numPr>
        <w:spacing w:before="120" w:after="120" w:line="288" w:lineRule="auto"/>
        <w:ind w:left="0"/>
        <w:jc w:val="left"/>
      </w:pPr>
      <w:r>
        <w:rPr>
          <w:rFonts w:eastAsia="等线" w:ascii="Arial" w:cs="Arial" w:hAnsi="Arial"/>
          <w:sz w:val="22"/>
        </w:rPr>
        <w:t>密码复杂度要求 “字母+数字”，六位数及以上密码。</w:t>
      </w:r>
    </w:p>
    <w:tbl>
      <w:tblPr>
        <w:tblW w:w="0" w:type="auto"/>
        <w:tblInd w:w="0" w:type="dxa"/>
        <w:tblBorders>
          <w:top w:val="none" w:space="4"/>
          <w:left w:val="none" w:space="4"/>
          <w:bottom w:val="none" w:space="4"/>
          <w:right w:val="none" w:space="4"/>
          <w:insideH w:val="none" w:space="4"/>
          <w:insideV w:val="none" w:space="4"/>
        </w:tblBorders>
        <w:tblLayout w:type="fixed"/>
      </w:tblPr>
      <w:tblGrid>
        <w:gridCol w:w="4140"/>
        <w:gridCol w:w="4140"/>
      </w:tblGrid>
      <w:tr>
        <w:tc>
          <w:tcPr>
            <w:tcW w:w="4140" w:type="dxa"/>
            <w:tcMar>
              <w:top w:type="dxa" w:w="60"/>
              <w:left w:type="dxa" w:w="120"/>
              <w:bottom w:type="dxa" w:w="30"/>
              <w:right w:type="dxa" w:w="120"/>
            </w:tcMar>
          </w:tcPr>
          <w:p>
            <w:pPr>
              <w:spacing w:before="120" w:after="120" w:line="288" w:lineRule="auto"/>
              <w:ind w:left="0"/>
              <w:jc w:val="center"/>
            </w:pPr>
            <w:r>
              <w:drawing>
                <wp:inline distT="0" distR="0" distB="0" distL="0">
                  <wp:extent cx="2476500" cy="120015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6"/>
                          <a:stretch>
                            <a:fillRect/>
                          </a:stretch>
                        </pic:blipFill>
                        <pic:spPr>
                          <a:xfrm>
                            <a:off x="0" y="0"/>
                            <a:ext cx="2476500" cy="1200150"/>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学校安全运营平台首页右上角点击个人中心</w:t>
              <w:br/>
            </w:r>
          </w:p>
        </w:tc>
        <w:tc>
          <w:tcPr>
            <w:tcW w:w="4140" w:type="dxa"/>
            <w:tcMar>
              <w:top w:type="dxa" w:w="60"/>
              <w:left w:type="dxa" w:w="120"/>
              <w:bottom w:type="dxa" w:w="30"/>
              <w:right w:type="dxa" w:w="120"/>
            </w:tcMar>
          </w:tcPr>
          <w:p>
            <w:pPr>
              <w:spacing w:before="120" w:after="120" w:line="288" w:lineRule="auto"/>
              <w:ind w:left="0"/>
              <w:jc w:val="center"/>
            </w:pPr>
            <w:r>
              <w:drawing>
                <wp:inline distT="0" distR="0" distB="0" distL="0">
                  <wp:extent cx="2476500" cy="120015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7"/>
                          <a:stretch>
                            <a:fillRect/>
                          </a:stretch>
                        </pic:blipFill>
                        <pic:spPr>
                          <a:xfrm>
                            <a:off x="0" y="0"/>
                            <a:ext cx="2476500" cy="1200150"/>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即可进行修改密码</w:t>
              <w:br/>
            </w:r>
          </w:p>
        </w:tc>
      </w:tr>
    </w:tbl>
    <w:p>
      <w:pPr>
        <w:pStyle w:val="3"/>
        <w:spacing w:before="300" w:after="120" w:line="288" w:lineRule="auto"/>
        <w:ind w:left="0"/>
        <w:jc w:val="left"/>
        <w:outlineLvl w:val="2"/>
      </w:pPr>
      <w:bookmarkStart w:name="heading_7" w:id="7"/>
      <w:r>
        <w:rPr>
          <w:rFonts w:eastAsia="等线" w:ascii="Arial" w:cs="Arial" w:hAnsi="Arial"/>
          <w:b w:val="true"/>
          <w:sz w:val="30"/>
        </w:rPr>
        <w:t>第二节 规范要求</w:t>
      </w:r>
      <w:bookmarkEnd w:id="7"/>
    </w:p>
    <w:p>
      <w:pPr>
        <w:numPr>
          <w:numId w:val="4"/>
        </w:numPr>
        <w:spacing w:before="120" w:after="120" w:line="288" w:lineRule="auto"/>
        <w:ind w:left="0"/>
        <w:jc w:val="left"/>
      </w:pPr>
      <w:r>
        <w:rPr>
          <w:rFonts w:eastAsia="等线" w:ascii="Arial" w:cs="Arial" w:hAnsi="Arial"/>
          <w:sz w:val="22"/>
        </w:rPr>
        <w:t>密码建议每 90 天至少修改一次，修改时需规避历史密码及简单组合。</w:t>
      </w:r>
    </w:p>
    <w:p>
      <w:pPr>
        <w:numPr>
          <w:numId w:val="5"/>
        </w:numPr>
        <w:spacing w:before="120" w:after="120" w:line="288" w:lineRule="auto"/>
        <w:ind w:left="0"/>
        <w:jc w:val="left"/>
      </w:pPr>
      <w:r>
        <w:rPr>
          <w:rFonts w:eastAsia="等线" w:ascii="Arial" w:cs="Arial" w:hAnsi="Arial"/>
          <w:sz w:val="22"/>
        </w:rPr>
        <w:t>实行账号专人专管专用制度，账号归属人对账号操作行为负全部责任；严禁账号共享、转借他人使用。</w:t>
      </w:r>
    </w:p>
    <w:p>
      <w:pPr>
        <w:numPr>
          <w:numId w:val="6"/>
        </w:numPr>
        <w:spacing w:before="120" w:after="120" w:line="288" w:lineRule="auto"/>
        <w:ind w:left="0"/>
        <w:jc w:val="left"/>
      </w:pPr>
      <w:r>
        <w:rPr>
          <w:rFonts w:eastAsia="等线" w:ascii="Arial" w:cs="Arial" w:hAnsi="Arial"/>
          <w:sz w:val="22"/>
        </w:rPr>
        <w:t>公共设备登录，操作后须安全退出；建议关闭浏览器、清除浏览记录，避免账号信息泄露。</w:t>
      </w:r>
    </w:p>
    <w:p>
      <w:pPr>
        <w:pStyle w:val="1"/>
        <w:spacing w:before="380" w:after="140" w:line="288" w:lineRule="auto"/>
        <w:ind w:left="0"/>
        <w:jc w:val="left"/>
        <w:outlineLvl w:val="0"/>
      </w:pPr>
      <w:bookmarkStart w:name="heading_8" w:id="8"/>
      <w:r>
        <w:rPr>
          <w:rFonts w:eastAsia="等线" w:ascii="Arial" w:cs="Arial" w:hAnsi="Arial"/>
          <w:b w:val="true"/>
          <w:sz w:val="36"/>
        </w:rPr>
        <w:t>三、校区基础部署管理</w:t>
      </w:r>
      <w:bookmarkEnd w:id="8"/>
    </w:p>
    <w:p>
      <w:pPr>
        <w:spacing w:before="120" w:after="120" w:line="288" w:lineRule="auto"/>
        <w:ind w:left="0"/>
        <w:jc w:val="center"/>
      </w:pPr>
      <w:r>
        <w:drawing>
          <wp:inline distT="0" distR="0" distB="0" distL="0">
            <wp:extent cx="5257800" cy="676275"/>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8"/>
                    <a:stretch>
                      <a:fillRect/>
                    </a:stretch>
                  </pic:blipFill>
                  <pic:spPr>
                    <a:xfrm>
                      <a:off x="0" y="0"/>
                      <a:ext cx="5257800" cy="67627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学校两次审核通过后即可进行校区部署，校区部署总共六个环节</w:t>
        <w:br/>
      </w:r>
    </w:p>
    <w:p>
      <w:pPr>
        <w:pStyle w:val="3"/>
        <w:spacing w:before="300" w:after="120" w:line="288" w:lineRule="auto"/>
        <w:ind w:left="0"/>
        <w:jc w:val="left"/>
        <w:outlineLvl w:val="2"/>
      </w:pPr>
      <w:bookmarkStart w:name="heading_9" w:id="9"/>
      <w:r>
        <w:rPr>
          <w:rFonts w:eastAsia="等线" w:ascii="Arial" w:cs="Arial" w:hAnsi="Arial"/>
          <w:b w:val="true"/>
          <w:sz w:val="30"/>
        </w:rPr>
        <w:t>第一节 设置部门/校区</w:t>
      </w:r>
      <w:bookmarkEnd w:id="9"/>
    </w:p>
    <w:p>
      <w:pPr>
        <w:spacing w:before="120" w:after="120" w:line="288" w:lineRule="auto"/>
        <w:ind w:left="0"/>
        <w:jc w:val="left"/>
      </w:pPr>
      <w:r>
        <w:rPr>
          <w:rFonts w:eastAsia="等线" w:ascii="Arial" w:cs="Arial" w:hAnsi="Arial"/>
          <w:b w:val="true"/>
          <w:sz w:val="22"/>
        </w:rPr>
        <w:t>功能概述</w:t>
      </w:r>
      <w:r>
        <w:rPr>
          <w:rFonts w:eastAsia="等线" w:ascii="Arial" w:cs="Arial" w:hAnsi="Arial"/>
          <w:sz w:val="22"/>
        </w:rPr>
        <w:t>：支持学校创建多层级部门架构（如教务处、年级组、教研组等），并可根据实际办学情况新增、编辑、删除校区信息。配置各校区与部门的归属关系，支持部门负责人、校区管理员的指定与权限关联。</w:t>
      </w:r>
    </w:p>
    <w:tbl>
      <w:tblPr>
        <w:tblW w:w="0" w:type="auto"/>
        <w:tblInd w:w="0" w:type="dxa"/>
        <w:tblBorders>
          <w:top w:val="none" w:space="4"/>
          <w:left w:val="none" w:space="4"/>
          <w:bottom w:val="none" w:space="4"/>
          <w:right w:val="none" w:space="4"/>
          <w:insideH w:val="none" w:space="4"/>
          <w:insideV w:val="none" w:space="4"/>
        </w:tblBorders>
        <w:tblLayout w:type="fixed"/>
      </w:tblPr>
      <w:tblGrid>
        <w:gridCol w:w="4140"/>
        <w:gridCol w:w="4140"/>
      </w:tblGrid>
      <w:tr>
        <w:tc>
          <w:tcPr>
            <w:tcW w:w="4140" w:type="dxa"/>
            <w:tcMar>
              <w:top w:type="dxa" w:w="60"/>
              <w:left w:type="dxa" w:w="120"/>
              <w:bottom w:type="dxa" w:w="30"/>
              <w:right w:type="dxa" w:w="120"/>
            </w:tcMar>
          </w:tcPr>
          <w:p>
            <w:pPr>
              <w:spacing w:before="120" w:after="120" w:line="288" w:lineRule="auto"/>
              <w:ind w:left="0"/>
              <w:jc w:val="center"/>
            </w:pPr>
            <w:r>
              <w:drawing>
                <wp:inline distT="0" distR="0" distB="0" distL="0">
                  <wp:extent cx="2476500" cy="1571625"/>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9"/>
                          <a:stretch>
                            <a:fillRect/>
                          </a:stretch>
                        </pic:blipFill>
                        <pic:spPr>
                          <a:xfrm>
                            <a:off x="0" y="0"/>
                            <a:ext cx="2476500" cy="157162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填写信息进行校区添加</w:t>
              <w:br/>
            </w:r>
          </w:p>
        </w:tc>
        <w:tc>
          <w:tcPr>
            <w:tcW w:w="4140" w:type="dxa"/>
            <w:tcMar>
              <w:top w:type="dxa" w:w="60"/>
              <w:left w:type="dxa" w:w="120"/>
              <w:bottom w:type="dxa" w:w="30"/>
              <w:right w:type="dxa" w:w="120"/>
            </w:tcMar>
          </w:tcPr>
          <w:p>
            <w:pPr>
              <w:spacing w:before="120" w:after="120" w:line="288" w:lineRule="auto"/>
              <w:ind w:left="0"/>
              <w:jc w:val="center"/>
            </w:pPr>
            <w:r>
              <w:drawing>
                <wp:inline distT="0" distR="0" distB="0" distL="0">
                  <wp:extent cx="2476500" cy="1038225"/>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0"/>
                          <a:stretch>
                            <a:fillRect/>
                          </a:stretch>
                        </pic:blipFill>
                        <pic:spPr>
                          <a:xfrm>
                            <a:off x="0" y="0"/>
                            <a:ext cx="2476500" cy="103822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填写信息进行部门添加</w:t>
              <w:br/>
            </w:r>
          </w:p>
        </w:tc>
      </w:tr>
    </w:tbl>
    <w:p>
      <w:pPr>
        <w:spacing w:before="120" w:after="120" w:line="288" w:lineRule="auto"/>
        <w:ind w:left="0"/>
        <w:jc w:val="left"/>
      </w:pPr>
      <w:r>
        <w:rPr>
          <w:rFonts w:eastAsia="等线" w:ascii="Arial" w:cs="Arial" w:hAnsi="Arial"/>
          <w:b w:val="true"/>
          <w:sz w:val="22"/>
        </w:rPr>
        <w:t>核心价值意义</w:t>
      </w:r>
      <w:r>
        <w:rPr>
          <w:rFonts w:eastAsia="等线" w:ascii="Arial" w:cs="Arial" w:hAnsi="Arial"/>
          <w:sz w:val="22"/>
        </w:rPr>
        <w:t>：搭建学校组织管理的 “骨架”，实现组织架构的规范化、可视化，解决多校区、多部门协同混乱的问题，为后续权限分配，配置负责人奠定基础。</w:t>
      </w:r>
    </w:p>
    <w:p>
      <w:pPr>
        <w:spacing w:before="120" w:after="120" w:line="288" w:lineRule="auto"/>
        <w:ind w:left="0"/>
        <w:jc w:val="left"/>
      </w:pPr>
      <w:r>
        <w:rPr>
          <w:rFonts w:eastAsia="等线" w:ascii="Arial" w:cs="Arial" w:hAnsi="Arial"/>
          <w:b w:val="true"/>
          <w:sz w:val="22"/>
        </w:rPr>
        <w:t>作用</w:t>
      </w:r>
      <w:r>
        <w:rPr>
          <w:rFonts w:eastAsia="等线" w:ascii="Arial" w:cs="Arial" w:hAnsi="Arial"/>
          <w:sz w:val="22"/>
        </w:rPr>
        <w:t>：明确各部门 / 校区的管理边界与职责分工，方便后续用户归属、数据统计、审批流程等业务按组织架构精准流转；支持跨校区资源统筹与独立管理，适配单校区、多校区等不同办学场景。</w:t>
      </w:r>
    </w:p>
    <w:p>
      <w:pPr>
        <w:spacing w:before="120" w:after="120" w:line="288" w:lineRule="auto"/>
        <w:ind w:left="0"/>
        <w:jc w:val="left"/>
      </w:pPr>
      <w:r>
        <w:rPr>
          <w:rFonts w:eastAsia="等线" w:ascii="Arial" w:cs="Arial" w:hAnsi="Arial"/>
          <w:b w:val="true"/>
          <w:sz w:val="22"/>
        </w:rPr>
        <w:t>注意事项</w:t>
      </w:r>
      <w:r>
        <w:rPr>
          <w:rFonts w:eastAsia="等线" w:ascii="Arial" w:cs="Arial" w:hAnsi="Arial"/>
          <w:sz w:val="22"/>
        </w:rPr>
        <w:t>：需先进行添加校区，再添加校区下的各个部门。</w:t>
      </w:r>
    </w:p>
    <w:p>
      <w:pPr>
        <w:pStyle w:val="3"/>
        <w:spacing w:before="300" w:after="120" w:line="288" w:lineRule="auto"/>
        <w:ind w:left="0"/>
        <w:jc w:val="left"/>
        <w:outlineLvl w:val="2"/>
      </w:pPr>
      <w:bookmarkStart w:name="heading_10" w:id="10"/>
      <w:r>
        <w:rPr>
          <w:rFonts w:eastAsia="等线" w:ascii="Arial" w:cs="Arial" w:hAnsi="Arial"/>
          <w:b w:val="true"/>
          <w:sz w:val="30"/>
        </w:rPr>
        <w:t>第二节 角色设置</w:t>
      </w:r>
      <w:bookmarkEnd w:id="10"/>
    </w:p>
    <w:p>
      <w:pPr>
        <w:spacing w:before="120" w:after="120" w:line="288" w:lineRule="auto"/>
        <w:ind w:left="0"/>
        <w:jc w:val="left"/>
      </w:pPr>
      <w:r>
        <w:rPr>
          <w:rFonts w:eastAsia="等线" w:ascii="Arial" w:cs="Arial" w:hAnsi="Arial"/>
          <w:b w:val="true"/>
          <w:sz w:val="22"/>
        </w:rPr>
        <w:t>功能概述</w:t>
      </w:r>
      <w:r>
        <w:rPr>
          <w:rFonts w:eastAsia="等线" w:ascii="Arial" w:cs="Arial" w:hAnsi="Arial"/>
          <w:sz w:val="22"/>
        </w:rPr>
        <w:t>：提供角色自定义创建、权限配置的功能，预设四个内置角色（校长、学管师、咨询师、财务），支持按模块（如班级管理、用户管理）等精细化分配权限，支持权限修改、停用 / 启用操作。</w:t>
      </w:r>
    </w:p>
    <w:tbl>
      <w:tblPr>
        <w:tblW w:w="0" w:type="auto"/>
        <w:tblInd w:w="0" w:type="dxa"/>
        <w:tblBorders>
          <w:top w:val="none" w:space="4"/>
          <w:left w:val="none" w:space="4"/>
          <w:bottom w:val="none" w:space="4"/>
          <w:right w:val="none" w:space="4"/>
          <w:insideH w:val="none" w:space="4"/>
          <w:insideV w:val="none" w:space="4"/>
        </w:tblBorders>
        <w:tblLayout w:type="fixed"/>
      </w:tblPr>
      <w:tblGrid>
        <w:gridCol w:w="3960"/>
        <w:gridCol w:w="4319"/>
      </w:tblGrid>
      <w:tr>
        <w:tc>
          <w:tcPr>
            <w:tcW w:w="3960" w:type="dxa"/>
            <w:tcMar>
              <w:top w:type="dxa" w:w="60"/>
              <w:left w:type="dxa" w:w="120"/>
              <w:bottom w:type="dxa" w:w="30"/>
              <w:right w:type="dxa" w:w="120"/>
            </w:tcMar>
          </w:tcPr>
          <w:p>
            <w:pPr>
              <w:spacing w:before="120" w:after="120" w:line="288" w:lineRule="auto"/>
              <w:ind w:left="0"/>
              <w:jc w:val="center"/>
            </w:pPr>
            <w:r>
              <w:drawing>
                <wp:inline distT="0" distR="0" distB="0" distL="0">
                  <wp:extent cx="2362200" cy="1704975"/>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1"/>
                          <a:stretch>
                            <a:fillRect/>
                          </a:stretch>
                        </pic:blipFill>
                        <pic:spPr>
                          <a:xfrm>
                            <a:off x="0" y="0"/>
                            <a:ext cx="2362200" cy="170497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平台内置四个常用角色</w:t>
              <w:br/>
            </w:r>
          </w:p>
        </w:tc>
        <w:tc>
          <w:tcPr>
            <w:tcW w:w="4319" w:type="dxa"/>
            <w:tcMar>
              <w:top w:type="dxa" w:w="60"/>
              <w:left w:type="dxa" w:w="120"/>
              <w:bottom w:type="dxa" w:w="30"/>
              <w:right w:type="dxa" w:w="120"/>
            </w:tcMar>
          </w:tcPr>
          <w:p>
            <w:pPr>
              <w:spacing w:before="120" w:after="120" w:line="288" w:lineRule="auto"/>
              <w:ind w:left="0"/>
              <w:jc w:val="center"/>
            </w:pPr>
            <w:r>
              <w:drawing>
                <wp:inline distT="0" distR="0" distB="0" distL="0">
                  <wp:extent cx="2581275" cy="17145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2"/>
                          <a:stretch>
                            <a:fillRect/>
                          </a:stretch>
                        </pic:blipFill>
                        <pic:spPr>
                          <a:xfrm>
                            <a:off x="0" y="0"/>
                            <a:ext cx="2581275" cy="1714500"/>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学校可根据校区实际情况进行角色创立和权限分配</w:t>
              <w:br/>
            </w:r>
          </w:p>
        </w:tc>
      </w:tr>
    </w:tbl>
    <w:p>
      <w:pPr>
        <w:spacing w:before="120" w:after="120" w:line="288" w:lineRule="auto"/>
        <w:ind w:left="0"/>
        <w:jc w:val="left"/>
      </w:pPr>
      <w:r>
        <w:rPr>
          <w:rFonts w:eastAsia="等线" w:ascii="Arial" w:cs="Arial" w:hAnsi="Arial"/>
          <w:b w:val="true"/>
          <w:sz w:val="22"/>
        </w:rPr>
        <w:t>核心价值意义</w:t>
      </w:r>
      <w:r>
        <w:rPr>
          <w:rFonts w:eastAsia="等线" w:ascii="Arial" w:cs="Arial" w:hAnsi="Arial"/>
          <w:sz w:val="22"/>
        </w:rPr>
        <w:t>：建立 “最小权限” 的安全管控体系，解决权限混乱、数据泄露风险，实现 “谁需要、谁授权” 的精准管理，提升系统操作的安全性与规范性。</w:t>
      </w:r>
    </w:p>
    <w:p>
      <w:pPr>
        <w:spacing w:before="120" w:after="120" w:line="288" w:lineRule="auto"/>
        <w:ind w:left="0"/>
        <w:jc w:val="left"/>
      </w:pPr>
      <w:r>
        <w:rPr>
          <w:rFonts w:eastAsia="等线" w:ascii="Arial" w:cs="Arial" w:hAnsi="Arial"/>
          <w:b w:val="true"/>
          <w:sz w:val="22"/>
        </w:rPr>
        <w:t>作用</w:t>
      </w:r>
      <w:r>
        <w:rPr>
          <w:rFonts w:eastAsia="等线" w:ascii="Arial" w:cs="Arial" w:hAnsi="Arial"/>
          <w:sz w:val="22"/>
        </w:rPr>
        <w:t>：避免权限过度开放导致的误操作或数据安全问题；降低管理员权限管理成本，完成不同岗位人员的权限配置；适配学校不同岗位的职责需求，灵活调整角色权限以应对组织架构变动。</w:t>
      </w:r>
    </w:p>
    <w:p>
      <w:pPr>
        <w:spacing w:before="120" w:after="120" w:line="288" w:lineRule="auto"/>
        <w:ind w:left="0"/>
        <w:jc w:val="left"/>
      </w:pPr>
      <w:r>
        <w:rPr>
          <w:rFonts w:eastAsia="等线" w:ascii="Arial" w:cs="Arial" w:hAnsi="Arial"/>
          <w:b w:val="true"/>
          <w:sz w:val="22"/>
        </w:rPr>
        <w:t>注意事项</w:t>
      </w:r>
      <w:r>
        <w:rPr>
          <w:rFonts w:eastAsia="等线" w:ascii="Arial" w:cs="Arial" w:hAnsi="Arial"/>
          <w:sz w:val="22"/>
        </w:rPr>
        <w:t>：避免权限混乱、数据泄露风险，在分配权限时要进行对人员的考量。</w:t>
      </w:r>
    </w:p>
    <w:p>
      <w:pPr>
        <w:pStyle w:val="3"/>
        <w:spacing w:before="300" w:after="120" w:line="288" w:lineRule="auto"/>
        <w:ind w:left="0"/>
        <w:jc w:val="left"/>
        <w:outlineLvl w:val="2"/>
      </w:pPr>
      <w:bookmarkStart w:name="heading_11" w:id="11"/>
      <w:r>
        <w:rPr>
          <w:rFonts w:eastAsia="等线" w:ascii="Arial" w:cs="Arial" w:hAnsi="Arial"/>
          <w:b w:val="true"/>
          <w:sz w:val="30"/>
        </w:rPr>
        <w:t>第三节 用户管理</w:t>
      </w:r>
      <w:bookmarkEnd w:id="11"/>
    </w:p>
    <w:p>
      <w:pPr>
        <w:spacing w:before="120" w:after="120" w:line="288" w:lineRule="auto"/>
        <w:ind w:left="0"/>
        <w:jc w:val="left"/>
      </w:pPr>
      <w:r>
        <w:rPr>
          <w:rFonts w:eastAsia="等线" w:ascii="Arial" w:cs="Arial" w:hAnsi="Arial"/>
          <w:b w:val="true"/>
          <w:sz w:val="22"/>
        </w:rPr>
        <w:t>功能概述</w:t>
      </w:r>
      <w:r>
        <w:rPr>
          <w:rFonts w:eastAsia="等线" w:ascii="Arial" w:cs="Arial" w:hAnsi="Arial"/>
          <w:sz w:val="22"/>
        </w:rPr>
        <w:t>：支持学校用户（教职工、管理员等）的角色导入、单个用户进行新增、编辑、删除、停用，通过用户所属部门 / 校区关联角色，支持密码重置、用户状态查询（启用 / 停用）。</w:t>
      </w:r>
    </w:p>
    <w:tbl>
      <w:tblPr>
        <w:tblW w:w="0" w:type="auto"/>
        <w:tblInd w:w="0" w:type="dxa"/>
        <w:tblBorders>
          <w:top w:val="none" w:space="4"/>
          <w:left w:val="none" w:space="4"/>
          <w:bottom w:val="none" w:space="4"/>
          <w:right w:val="none" w:space="4"/>
          <w:insideH w:val="none" w:space="4"/>
          <w:insideV w:val="none" w:space="4"/>
        </w:tblBorders>
        <w:tblLayout w:type="fixed"/>
      </w:tblPr>
      <w:tblGrid>
        <w:gridCol w:w="3931"/>
        <w:gridCol w:w="4348"/>
      </w:tblGrid>
      <w:tr>
        <w:tc>
          <w:tcPr>
            <w:tcW w:w="3931" w:type="dxa"/>
            <w:tcMar>
              <w:top w:type="dxa" w:w="60"/>
              <w:left w:type="dxa" w:w="120"/>
              <w:bottom w:type="dxa" w:w="30"/>
              <w:right w:type="dxa" w:w="120"/>
            </w:tcMar>
          </w:tcPr>
          <w:p>
            <w:pPr>
              <w:spacing w:before="120" w:after="120" w:line="288" w:lineRule="auto"/>
              <w:ind w:left="0"/>
              <w:jc w:val="center"/>
            </w:pPr>
            <w:r>
              <w:drawing>
                <wp:inline distT="0" distR="0" distB="0" distL="0">
                  <wp:extent cx="2343150" cy="828675"/>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3"/>
                          <a:stretch>
                            <a:fillRect/>
                          </a:stretch>
                        </pic:blipFill>
                        <pic:spPr>
                          <a:xfrm>
                            <a:off x="0" y="0"/>
                            <a:ext cx="2343150" cy="82867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选择部门后进行用户创建</w:t>
              <w:br/>
            </w:r>
          </w:p>
        </w:tc>
        <w:tc>
          <w:tcPr>
            <w:tcW w:w="4348" w:type="dxa"/>
            <w:tcMar>
              <w:top w:type="dxa" w:w="60"/>
              <w:left w:type="dxa" w:w="120"/>
              <w:bottom w:type="dxa" w:w="30"/>
              <w:right w:type="dxa" w:w="120"/>
            </w:tcMar>
          </w:tcPr>
          <w:p>
            <w:pPr>
              <w:spacing w:before="120" w:after="120" w:line="288" w:lineRule="auto"/>
              <w:ind w:left="0"/>
              <w:jc w:val="center"/>
            </w:pPr>
            <w:r>
              <w:drawing>
                <wp:inline distT="0" distR="0" distB="0" distL="0">
                  <wp:extent cx="2600325" cy="1704975"/>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4"/>
                          <a:stretch>
                            <a:fillRect/>
                          </a:stretch>
                        </pic:blipFill>
                        <pic:spPr>
                          <a:xfrm>
                            <a:off x="0" y="0"/>
                            <a:ext cx="2600325" cy="170497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填写信息进行用户新增</w:t>
              <w:br/>
            </w:r>
          </w:p>
          <w:p>
            <w:pPr>
              <w:spacing w:before="120" w:after="120" w:line="288" w:lineRule="auto"/>
              <w:ind w:left="0"/>
              <w:jc w:val="left"/>
            </w:pPr>
          </w:p>
        </w:tc>
      </w:tr>
    </w:tbl>
    <w:p>
      <w:pPr>
        <w:spacing w:before="120" w:after="120" w:line="288" w:lineRule="auto"/>
        <w:ind w:left="0"/>
        <w:jc w:val="left"/>
      </w:pPr>
      <w:r>
        <w:rPr>
          <w:rFonts w:eastAsia="等线" w:ascii="Arial" w:cs="Arial" w:hAnsi="Arial"/>
          <w:b w:val="true"/>
          <w:sz w:val="22"/>
        </w:rPr>
        <w:t>核心价值意义</w:t>
      </w:r>
      <w:r>
        <w:rPr>
          <w:rFonts w:eastAsia="等线" w:ascii="Arial" w:cs="Arial" w:hAnsi="Arial"/>
          <w:sz w:val="22"/>
        </w:rPr>
        <w:t>：实现学校用户的集中化、规范化管理，确保系统用户身份真实、权限匹配，提升用户管理效率。</w:t>
      </w:r>
    </w:p>
    <w:p>
      <w:pPr>
        <w:spacing w:before="120" w:after="120" w:line="288" w:lineRule="auto"/>
        <w:ind w:left="0"/>
        <w:jc w:val="left"/>
      </w:pPr>
      <w:r>
        <w:rPr>
          <w:rFonts w:eastAsia="等线" w:ascii="Arial" w:cs="Arial" w:hAnsi="Arial"/>
          <w:b w:val="true"/>
          <w:sz w:val="22"/>
        </w:rPr>
        <w:t>作用</w:t>
      </w:r>
      <w:r>
        <w:rPr>
          <w:rFonts w:eastAsia="等线" w:ascii="Arial" w:cs="Arial" w:hAnsi="Arial"/>
          <w:sz w:val="22"/>
        </w:rPr>
        <w:t>：快速完成学校各类人员的系统入驻，避免重复注册或用户信息混乱；通过用户状态管控（如离职人员禁用）保障系统安全。</w:t>
      </w:r>
    </w:p>
    <w:p>
      <w:pPr>
        <w:spacing w:before="120" w:after="120" w:line="288" w:lineRule="auto"/>
        <w:ind w:left="0"/>
        <w:jc w:val="left"/>
      </w:pPr>
      <w:r>
        <w:rPr>
          <w:rFonts w:eastAsia="等线" w:ascii="Arial" w:cs="Arial" w:hAnsi="Arial"/>
          <w:b w:val="true"/>
          <w:sz w:val="22"/>
        </w:rPr>
        <w:t>注意事项</w:t>
      </w:r>
    </w:p>
    <w:p>
      <w:pPr>
        <w:numPr>
          <w:numId w:val="7"/>
        </w:numPr>
        <w:spacing w:before="120" w:after="120" w:line="288" w:lineRule="auto"/>
        <w:ind w:left="453"/>
        <w:jc w:val="left"/>
      </w:pPr>
      <w:r>
        <w:rPr>
          <w:rFonts w:eastAsia="等线" w:ascii="Arial" w:cs="Arial" w:hAnsi="Arial"/>
          <w:sz w:val="22"/>
        </w:rPr>
        <w:t>需先按照所属分校 / 部门进行选择，再进行用户的添加；</w:t>
      </w:r>
    </w:p>
    <w:p>
      <w:pPr>
        <w:numPr>
          <w:numId w:val="8"/>
        </w:numPr>
        <w:spacing w:before="120" w:after="120" w:line="288" w:lineRule="auto"/>
        <w:ind w:left="453"/>
        <w:jc w:val="left"/>
      </w:pPr>
      <w:r>
        <w:rPr>
          <w:rFonts w:eastAsia="等线" w:ascii="Arial" w:cs="Arial" w:hAnsi="Arial"/>
          <w:sz w:val="22"/>
        </w:rPr>
        <w:t>初始账号为用户手机号，初始密码为手机号后六位；</w:t>
      </w:r>
    </w:p>
    <w:p>
      <w:pPr>
        <w:numPr>
          <w:numId w:val="9"/>
        </w:numPr>
        <w:spacing w:before="120" w:after="120" w:line="288" w:lineRule="auto"/>
        <w:ind w:left="453"/>
        <w:jc w:val="left"/>
      </w:pPr>
      <w:r>
        <w:rPr>
          <w:rFonts w:eastAsia="等线" w:ascii="Arial" w:cs="Arial" w:hAnsi="Arial"/>
          <w:sz w:val="22"/>
        </w:rPr>
        <w:t>若所创角色为教学相关角色，在 [是否督学] 选项中选择 [是] ；</w:t>
      </w:r>
    </w:p>
    <w:p>
      <w:pPr>
        <w:numPr>
          <w:numId w:val="10"/>
        </w:numPr>
        <w:spacing w:before="120" w:after="120" w:line="288" w:lineRule="auto"/>
        <w:ind w:left="453"/>
        <w:jc w:val="left"/>
      </w:pPr>
      <w:r>
        <w:rPr>
          <w:rFonts w:eastAsia="等线" w:ascii="Arial" w:cs="Arial" w:hAnsi="Arial"/>
          <w:sz w:val="22"/>
        </w:rPr>
        <w:t>用户创建完成后需进行邀请激活，可选择 [发送短信] 或 [复制链接] 两种方式，学管师需点击链接填写真实姓名进行激活。（学管师激活后才可以在 [班级管理] 模块中进行选择）；</w:t>
      </w:r>
    </w:p>
    <w:p>
      <w:pPr>
        <w:spacing w:before="120" w:after="120" w:line="288" w:lineRule="auto"/>
        <w:ind w:left="453"/>
        <w:jc w:val="left"/>
      </w:pPr>
      <w:r>
        <w:drawing>
          <wp:inline distT="0" distR="0" distB="0" distL="0">
            <wp:extent cx="5257800" cy="1590675"/>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15"/>
                    <a:stretch>
                      <a:fillRect/>
                    </a:stretch>
                  </pic:blipFill>
                  <pic:spPr>
                    <a:xfrm>
                      <a:off x="0" y="0"/>
                      <a:ext cx="5257800" cy="1590675"/>
                    </a:xfrm>
                    <a:prstGeom prst="rect">
                      <a:avLst/>
                    </a:prstGeom>
                  </pic:spPr>
                </pic:pic>
              </a:graphicData>
            </a:graphic>
          </wp:inline>
        </w:drawing>
      </w:r>
    </w:p>
    <w:p>
      <w:pPr>
        <w:spacing w:before="120" w:after="120" w:line="288" w:lineRule="auto"/>
        <w:ind w:left="453"/>
        <w:jc w:val="center"/>
      </w:pPr>
      <w:r>
        <w:rPr>
          <w:rFonts w:eastAsia="等线" w:ascii="Arial" w:cs="Arial" w:hAnsi="Arial"/>
          <w:color w:val="8F959E"/>
          <w:sz w:val="22"/>
        </w:rPr>
        <w:t>用户创建完成后两种方式进行激活，激活后才可进行正常登录</w:t>
        <w:br/>
      </w:r>
    </w:p>
    <w:p>
      <w:pPr>
        <w:numPr>
          <w:numId w:val="11"/>
        </w:numPr>
        <w:spacing w:before="120" w:after="120" w:line="288" w:lineRule="auto"/>
        <w:ind w:left="453"/>
        <w:jc w:val="left"/>
      </w:pPr>
      <w:r>
        <w:rPr>
          <w:rFonts w:eastAsia="等线" w:ascii="Arial" w:cs="Arial" w:hAnsi="Arial"/>
          <w:sz w:val="22"/>
        </w:rPr>
        <w:t>[可访问平台] 中可选择角色可登陆平台。</w:t>
      </w:r>
    </w:p>
    <w:p>
      <w:pPr>
        <w:spacing w:before="120" w:after="120" w:line="288" w:lineRule="auto"/>
        <w:ind w:left="453"/>
        <w:jc w:val="left"/>
      </w:pPr>
      <w:r>
        <w:drawing>
          <wp:inline distT="0" distR="0" distB="0" distL="0">
            <wp:extent cx="5257800" cy="638175"/>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16"/>
                    <a:stretch>
                      <a:fillRect/>
                    </a:stretch>
                  </pic:blipFill>
                  <pic:spPr>
                    <a:xfrm>
                      <a:off x="0" y="0"/>
                      <a:ext cx="5257800" cy="638175"/>
                    </a:xfrm>
                    <a:prstGeom prst="rect">
                      <a:avLst/>
                    </a:prstGeom>
                  </pic:spPr>
                </pic:pic>
              </a:graphicData>
            </a:graphic>
          </wp:inline>
        </w:drawing>
      </w:r>
    </w:p>
    <w:p>
      <w:pPr>
        <w:spacing w:before="120" w:after="120" w:line="288" w:lineRule="auto"/>
        <w:ind w:left="453"/>
        <w:jc w:val="center"/>
      </w:pPr>
      <w:r>
        <w:rPr>
          <w:rFonts w:eastAsia="等线" w:ascii="Arial" w:cs="Arial" w:hAnsi="Arial"/>
          <w:color w:val="8F959E"/>
          <w:sz w:val="22"/>
        </w:rPr>
        <w:t>根据实际需求选择用户可访问平台</w:t>
        <w:br/>
      </w:r>
    </w:p>
    <w:p>
      <w:pPr>
        <w:pStyle w:val="3"/>
        <w:spacing w:before="300" w:after="120" w:line="288" w:lineRule="auto"/>
        <w:ind w:left="0"/>
        <w:jc w:val="left"/>
        <w:outlineLvl w:val="2"/>
      </w:pPr>
      <w:bookmarkStart w:name="heading_12" w:id="12"/>
      <w:r>
        <w:rPr>
          <w:rFonts w:eastAsia="等线" w:ascii="Arial" w:cs="Arial" w:hAnsi="Arial"/>
          <w:b w:val="true"/>
          <w:sz w:val="30"/>
        </w:rPr>
        <w:t>第四节 班型设置</w:t>
      </w:r>
      <w:bookmarkEnd w:id="12"/>
    </w:p>
    <w:p>
      <w:pPr>
        <w:spacing w:before="120" w:after="120" w:line="288" w:lineRule="auto"/>
        <w:ind w:left="0"/>
        <w:jc w:val="left"/>
      </w:pPr>
      <w:r>
        <w:rPr>
          <w:rFonts w:eastAsia="等线" w:ascii="Arial" w:cs="Arial" w:hAnsi="Arial"/>
          <w:b w:val="true"/>
          <w:sz w:val="22"/>
        </w:rPr>
        <w:t>功能概述</w:t>
      </w:r>
      <w:r>
        <w:rPr>
          <w:rFonts w:eastAsia="等线" w:ascii="Arial" w:cs="Arial" w:hAnsi="Arial"/>
          <w:sz w:val="22"/>
        </w:rPr>
        <w:t>：支持自定义班型分类（如实验班、平行班、特长班等），可设置班型名称属性，支持班型的新增、编辑与删除。</w:t>
      </w:r>
    </w:p>
    <w:p>
      <w:pPr>
        <w:spacing w:before="120" w:after="120" w:line="288" w:lineRule="auto"/>
        <w:ind w:left="0"/>
        <w:jc w:val="center"/>
      </w:pPr>
      <w:r>
        <w:drawing>
          <wp:inline distT="0" distR="0" distB="0" distL="0">
            <wp:extent cx="5257800" cy="37719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17"/>
                    <a:stretch>
                      <a:fillRect/>
                    </a:stretch>
                  </pic:blipFill>
                  <pic:spPr>
                    <a:xfrm>
                      <a:off x="0" y="0"/>
                      <a:ext cx="5257800" cy="3771900"/>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学校可根据校区实际情况进行班型设立</w:t>
        <w:br/>
      </w:r>
    </w:p>
    <w:p>
      <w:pPr>
        <w:spacing w:before="120" w:after="120" w:line="288" w:lineRule="auto"/>
        <w:ind w:left="0"/>
        <w:jc w:val="left"/>
      </w:pPr>
      <w:r>
        <w:rPr>
          <w:rFonts w:eastAsia="等线" w:ascii="Arial" w:cs="Arial" w:hAnsi="Arial"/>
          <w:b w:val="true"/>
          <w:sz w:val="22"/>
        </w:rPr>
        <w:t>核心价值意义</w:t>
      </w:r>
      <w:r>
        <w:rPr>
          <w:rFonts w:eastAsia="等线" w:ascii="Arial" w:cs="Arial" w:hAnsi="Arial"/>
          <w:sz w:val="22"/>
        </w:rPr>
        <w:t>：规范学校班级分类标准，为后续班级创建、教学资源分配、提供分类依据。</w:t>
      </w:r>
    </w:p>
    <w:p>
      <w:pPr>
        <w:spacing w:before="120" w:after="120" w:line="288" w:lineRule="auto"/>
        <w:ind w:left="0"/>
        <w:jc w:val="left"/>
      </w:pPr>
      <w:r>
        <w:rPr>
          <w:rFonts w:eastAsia="等线" w:ascii="Arial" w:cs="Arial" w:hAnsi="Arial"/>
          <w:b w:val="true"/>
          <w:sz w:val="22"/>
        </w:rPr>
        <w:t>作用</w:t>
      </w:r>
      <w:r>
        <w:rPr>
          <w:rFonts w:eastAsia="等线" w:ascii="Arial" w:cs="Arial" w:hAnsi="Arial"/>
          <w:sz w:val="22"/>
        </w:rPr>
        <w:t>：明确各类班级的定位；方便教务部门按班型统筹教学计划（如实验班特殊课程安排）；为数据分析提供维度（如不同班型的成绩数据对比）。</w:t>
      </w:r>
    </w:p>
    <w:p>
      <w:pPr>
        <w:spacing w:before="120" w:after="120" w:line="288" w:lineRule="auto"/>
        <w:ind w:left="0"/>
        <w:jc w:val="left"/>
      </w:pPr>
      <w:r>
        <w:rPr>
          <w:rFonts w:eastAsia="等线" w:ascii="Arial" w:cs="Arial" w:hAnsi="Arial"/>
          <w:b w:val="true"/>
          <w:sz w:val="22"/>
        </w:rPr>
        <w:t>注意事项</w:t>
      </w:r>
      <w:r>
        <w:rPr>
          <w:rFonts w:eastAsia="等线" w:ascii="Arial" w:cs="Arial" w:hAnsi="Arial"/>
          <w:sz w:val="22"/>
        </w:rPr>
        <w:t>：[所属分类] 暂时默认为 “新概念英语” 。</w:t>
      </w:r>
    </w:p>
    <w:p>
      <w:pPr>
        <w:pStyle w:val="3"/>
        <w:spacing w:before="300" w:after="120" w:line="288" w:lineRule="auto"/>
        <w:ind w:left="0"/>
        <w:jc w:val="left"/>
        <w:outlineLvl w:val="2"/>
      </w:pPr>
      <w:bookmarkStart w:name="heading_13" w:id="13"/>
      <w:r>
        <w:rPr>
          <w:rFonts w:eastAsia="等线" w:ascii="Arial" w:cs="Arial" w:hAnsi="Arial"/>
          <w:b w:val="true"/>
          <w:sz w:val="30"/>
        </w:rPr>
        <w:t>第五节 教室设置</w:t>
      </w:r>
      <w:bookmarkEnd w:id="13"/>
    </w:p>
    <w:p>
      <w:pPr>
        <w:spacing w:before="120" w:after="120" w:line="288" w:lineRule="auto"/>
        <w:ind w:left="0"/>
        <w:jc w:val="left"/>
      </w:pPr>
      <w:r>
        <w:rPr>
          <w:rFonts w:eastAsia="等线" w:ascii="Arial" w:cs="Arial" w:hAnsi="Arial"/>
          <w:b w:val="true"/>
          <w:sz w:val="22"/>
        </w:rPr>
        <w:t>功能概述</w:t>
      </w:r>
      <w:r>
        <w:rPr>
          <w:rFonts w:eastAsia="等线" w:ascii="Arial" w:cs="Arial" w:hAnsi="Arial"/>
          <w:sz w:val="22"/>
        </w:rPr>
        <w:t>：支持设置教室名称、面积（平米），支持教室的新增、编辑、删除、查看占用情况。</w:t>
      </w:r>
    </w:p>
    <w:p>
      <w:pPr>
        <w:spacing w:before="120" w:after="120" w:line="288" w:lineRule="auto"/>
        <w:ind w:left="0"/>
        <w:jc w:val="center"/>
      </w:pPr>
      <w:r>
        <w:drawing>
          <wp:inline distT="0" distR="0" distB="0" distL="0">
            <wp:extent cx="5257800" cy="35433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18"/>
                    <a:stretch>
                      <a:fillRect/>
                    </a:stretch>
                  </pic:blipFill>
                  <pic:spPr>
                    <a:xfrm>
                      <a:off x="0" y="0"/>
                      <a:ext cx="5257800" cy="3543300"/>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学校可根据校区实际情况进行教室设立</w:t>
        <w:br/>
      </w:r>
    </w:p>
    <w:p>
      <w:pPr>
        <w:spacing w:before="120" w:after="120" w:line="288" w:lineRule="auto"/>
        <w:ind w:left="0"/>
        <w:jc w:val="left"/>
      </w:pPr>
      <w:r>
        <w:rPr>
          <w:rFonts w:eastAsia="等线" w:ascii="Arial" w:cs="Arial" w:hAnsi="Arial"/>
          <w:b w:val="true"/>
          <w:sz w:val="22"/>
        </w:rPr>
        <w:t>核心价值意义</w:t>
      </w:r>
      <w:r>
        <w:rPr>
          <w:rFonts w:eastAsia="等线" w:ascii="Arial" w:cs="Arial" w:hAnsi="Arial"/>
          <w:sz w:val="22"/>
        </w:rPr>
        <w:t>：建立学校教室资源的数字化台账，实现教室资源的可视化管理与高效调度，避免资源闲置或冲突。</w:t>
      </w:r>
    </w:p>
    <w:p>
      <w:pPr>
        <w:spacing w:before="120" w:after="120" w:line="288" w:lineRule="auto"/>
        <w:ind w:left="0"/>
        <w:jc w:val="left"/>
      </w:pPr>
      <w:r>
        <w:rPr>
          <w:rFonts w:eastAsia="等线" w:ascii="Arial" w:cs="Arial" w:hAnsi="Arial"/>
          <w:b w:val="true"/>
          <w:sz w:val="22"/>
        </w:rPr>
        <w:t>作用</w:t>
      </w:r>
      <w:r>
        <w:rPr>
          <w:rFonts w:eastAsia="等线" w:ascii="Arial" w:cs="Arial" w:hAnsi="Arial"/>
          <w:sz w:val="22"/>
        </w:rPr>
        <w:t>：为排课系统提供基础数据，确保课程安排时教室资源匹配；方便行政部门跟踪教室设备维护与更新；支持教室使用情况查询，优化资源配置。</w:t>
      </w:r>
    </w:p>
    <w:p>
      <w:pPr>
        <w:spacing w:before="120" w:after="120" w:line="288" w:lineRule="auto"/>
        <w:ind w:left="0"/>
        <w:jc w:val="left"/>
      </w:pPr>
      <w:r>
        <w:rPr>
          <w:rFonts w:eastAsia="等线" w:ascii="Arial" w:cs="Arial" w:hAnsi="Arial"/>
          <w:b w:val="true"/>
          <w:sz w:val="22"/>
        </w:rPr>
        <w:t>注意事项</w:t>
      </w:r>
      <w:r>
        <w:rPr>
          <w:rFonts w:eastAsia="等线" w:ascii="Arial" w:cs="Arial" w:hAnsi="Arial"/>
          <w:sz w:val="22"/>
        </w:rPr>
        <w:t>：添加教室时注意校区的选择。</w:t>
      </w:r>
    </w:p>
    <w:p>
      <w:pPr>
        <w:pStyle w:val="3"/>
        <w:spacing w:before="300" w:after="120" w:line="288" w:lineRule="auto"/>
        <w:ind w:left="0"/>
        <w:jc w:val="left"/>
        <w:outlineLvl w:val="2"/>
      </w:pPr>
      <w:bookmarkStart w:name="heading_14" w:id="14"/>
      <w:r>
        <w:rPr>
          <w:rFonts w:eastAsia="等线" w:ascii="Arial" w:cs="Arial" w:hAnsi="Arial"/>
          <w:b w:val="true"/>
          <w:sz w:val="30"/>
        </w:rPr>
        <w:t>第六节 班级管理</w:t>
      </w:r>
      <w:bookmarkEnd w:id="14"/>
    </w:p>
    <w:p>
      <w:pPr>
        <w:spacing w:before="120" w:after="120" w:line="288" w:lineRule="auto"/>
        <w:ind w:left="0"/>
        <w:jc w:val="left"/>
      </w:pPr>
      <w:r>
        <w:rPr>
          <w:rFonts w:eastAsia="等线" w:ascii="Arial" w:cs="Arial" w:hAnsi="Arial"/>
          <w:b w:val="true"/>
          <w:sz w:val="22"/>
        </w:rPr>
        <w:t>功能概述</w:t>
      </w:r>
      <w:r>
        <w:rPr>
          <w:rFonts w:eastAsia="等线" w:ascii="Arial" w:cs="Arial" w:hAnsi="Arial"/>
          <w:sz w:val="22"/>
        </w:rPr>
        <w:t>：基于已配置的班型、教室，创建具体班级，可指定所属校区、学管师、上课时间等，支持班级的新增、编辑、删除、查看排课、查看班级学生。</w:t>
      </w:r>
    </w:p>
    <w:tbl>
      <w:tblPr>
        <w:tblW w:w="0" w:type="auto"/>
        <w:tblInd w:w="0" w:type="dxa"/>
        <w:tblBorders>
          <w:top w:val="none" w:space="4"/>
          <w:left w:val="none" w:space="4"/>
          <w:bottom w:val="none" w:space="4"/>
          <w:right w:val="none" w:space="4"/>
          <w:insideH w:val="none" w:space="4"/>
          <w:insideV w:val="none" w:space="4"/>
        </w:tblBorders>
        <w:tblLayout w:type="fixed"/>
      </w:tblPr>
      <w:tblGrid>
        <w:gridCol w:w="3616"/>
        <w:gridCol w:w="4663"/>
      </w:tblGrid>
      <w:tr>
        <w:tc>
          <w:tcPr>
            <w:tcW w:w="3616" w:type="dxa"/>
            <w:tcMar>
              <w:top w:type="dxa" w:w="60"/>
              <w:left w:type="dxa" w:w="120"/>
              <w:bottom w:type="dxa" w:w="30"/>
              <w:right w:type="dxa" w:w="120"/>
            </w:tcMar>
          </w:tcPr>
          <w:p>
            <w:pPr>
              <w:spacing w:before="120" w:after="120" w:line="288" w:lineRule="auto"/>
              <w:ind w:left="0"/>
              <w:jc w:val="center"/>
            </w:pPr>
            <w:r>
              <w:drawing>
                <wp:inline distT="0" distR="0" distB="0" distL="0">
                  <wp:extent cx="2143125" cy="1247775"/>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19"/>
                          <a:stretch>
                            <a:fillRect/>
                          </a:stretch>
                        </pic:blipFill>
                        <pic:spPr>
                          <a:xfrm>
                            <a:off x="0" y="0"/>
                            <a:ext cx="2143125" cy="124777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学校根据校区实际情况进行上课时间段的添加</w:t>
              <w:br/>
            </w:r>
          </w:p>
          <w:p>
            <w:pPr>
              <w:spacing w:before="120" w:after="120" w:line="288" w:lineRule="auto"/>
              <w:ind w:left="0"/>
              <w:jc w:val="left"/>
            </w:pPr>
          </w:p>
        </w:tc>
        <w:tc>
          <w:tcPr>
            <w:tcW w:w="4663" w:type="dxa"/>
            <w:tcMar>
              <w:top w:type="dxa" w:w="60"/>
              <w:left w:type="dxa" w:w="120"/>
              <w:bottom w:type="dxa" w:w="30"/>
              <w:right w:type="dxa" w:w="120"/>
            </w:tcMar>
          </w:tcPr>
          <w:p>
            <w:pPr>
              <w:spacing w:before="120" w:after="120" w:line="288" w:lineRule="auto"/>
              <w:ind w:left="0"/>
              <w:jc w:val="center"/>
            </w:pPr>
            <w:r>
              <w:drawing>
                <wp:inline distT="0" distR="0" distB="0" distL="0">
                  <wp:extent cx="2800350" cy="188595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20"/>
                          <a:stretch>
                            <a:fillRect/>
                          </a:stretch>
                        </pic:blipFill>
                        <pic:spPr>
                          <a:xfrm>
                            <a:off x="0" y="0"/>
                            <a:ext cx="2800350" cy="1885950"/>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学校可根据校区实际情况进行班级排课</w:t>
              <w:br/>
            </w:r>
          </w:p>
        </w:tc>
      </w:tr>
    </w:tbl>
    <w:p>
      <w:pPr>
        <w:spacing w:before="120" w:after="120" w:line="288" w:lineRule="auto"/>
        <w:ind w:left="0"/>
        <w:jc w:val="left"/>
      </w:pPr>
      <w:r>
        <w:rPr>
          <w:rFonts w:eastAsia="等线" w:ascii="Arial" w:cs="Arial" w:hAnsi="Arial"/>
          <w:b w:val="true"/>
          <w:sz w:val="22"/>
        </w:rPr>
        <w:t>核心价值意义</w:t>
      </w:r>
      <w:r>
        <w:rPr>
          <w:rFonts w:eastAsia="等线" w:ascii="Arial" w:cs="Arial" w:hAnsi="Arial"/>
          <w:sz w:val="22"/>
        </w:rPr>
        <w:t>：完成学校教学单元的最终落地，搭建 “学生 - 学管师 - 班级 - 教室” 的关联体系，为日常教学管理、考勤、成绩统计等核心业务提供支撑。</w:t>
      </w:r>
    </w:p>
    <w:p>
      <w:pPr>
        <w:spacing w:before="120" w:after="120" w:line="288" w:lineRule="auto"/>
        <w:ind w:left="0"/>
        <w:jc w:val="left"/>
      </w:pPr>
      <w:r>
        <w:rPr>
          <w:rFonts w:eastAsia="等线" w:ascii="Arial" w:cs="Arial" w:hAnsi="Arial"/>
          <w:b w:val="true"/>
          <w:sz w:val="22"/>
        </w:rPr>
        <w:t>作用</w:t>
      </w:r>
      <w:r>
        <w:rPr>
          <w:rFonts w:eastAsia="等线" w:ascii="Arial" w:cs="Arial" w:hAnsi="Arial"/>
          <w:sz w:val="22"/>
        </w:rPr>
        <w:t>：明确班级的人员配置，关联教室与班型，保障教学活动有序开展；为学生分班、考勤打卡、成绩录入等功能提供基础载体。</w:t>
      </w:r>
    </w:p>
    <w:p>
      <w:pPr>
        <w:spacing w:before="120" w:after="120" w:line="288" w:lineRule="auto"/>
        <w:ind w:left="0"/>
        <w:jc w:val="left"/>
      </w:pPr>
      <w:r>
        <w:rPr>
          <w:rFonts w:eastAsia="等线" w:ascii="Arial" w:cs="Arial" w:hAnsi="Arial"/>
          <w:b w:val="true"/>
          <w:sz w:val="22"/>
        </w:rPr>
        <w:t>注意事项</w:t>
      </w:r>
    </w:p>
    <w:p>
      <w:pPr>
        <w:numPr>
          <w:numId w:val="12"/>
        </w:numPr>
        <w:spacing w:before="120" w:after="120" w:line="288" w:lineRule="auto"/>
        <w:ind w:left="453"/>
        <w:jc w:val="left"/>
      </w:pPr>
      <w:r>
        <w:rPr>
          <w:rFonts w:eastAsia="等线" w:ascii="Arial" w:cs="Arial" w:hAnsi="Arial"/>
          <w:sz w:val="22"/>
        </w:rPr>
        <w:t>先添加上课时间段再进行创建班级排课；</w:t>
      </w:r>
    </w:p>
    <w:p>
      <w:pPr>
        <w:numPr>
          <w:numId w:val="13"/>
        </w:numPr>
        <w:spacing w:before="120" w:after="120" w:line="288" w:lineRule="auto"/>
        <w:ind w:left="453"/>
        <w:jc w:val="left"/>
      </w:pPr>
      <w:r>
        <w:rPr>
          <w:rFonts w:eastAsia="等线" w:ascii="Arial" w:cs="Arial" w:hAnsi="Arial"/>
          <w:sz w:val="22"/>
        </w:rPr>
        <w:t>小组容量默认为 “6” ；标准班级容量为 “24” 人，需根据学校真实情况进行填写；</w:t>
      </w:r>
    </w:p>
    <w:p>
      <w:pPr>
        <w:numPr>
          <w:numId w:val="14"/>
        </w:numPr>
        <w:spacing w:before="120" w:after="120" w:line="288" w:lineRule="auto"/>
        <w:ind w:left="453"/>
        <w:jc w:val="left"/>
      </w:pPr>
      <w:r>
        <w:rPr>
          <w:rFonts w:eastAsia="等线" w:ascii="Arial" w:cs="Arial" w:hAnsi="Arial"/>
          <w:sz w:val="22"/>
        </w:rPr>
        <w:t>若当天进行紧急排课，在修改班级排课时需先选择上课时间后再点击 [是否包含今天] 的 “是” 。</w:t>
      </w:r>
    </w:p>
    <w:p>
      <w:pPr>
        <w:spacing w:before="120" w:after="120" w:line="288" w:lineRule="auto"/>
        <w:ind w:left="453"/>
        <w:jc w:val="left"/>
      </w:pPr>
      <w:r>
        <w:drawing>
          <wp:inline distT="0" distR="0" distB="0" distL="0">
            <wp:extent cx="4248150" cy="35814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21"/>
                    <a:stretch>
                      <a:fillRect/>
                    </a:stretch>
                  </pic:blipFill>
                  <pic:spPr>
                    <a:xfrm>
                      <a:off x="0" y="0"/>
                      <a:ext cx="4248150" cy="3581400"/>
                    </a:xfrm>
                    <a:prstGeom prst="rect">
                      <a:avLst/>
                    </a:prstGeom>
                  </pic:spPr>
                </pic:pic>
              </a:graphicData>
            </a:graphic>
          </wp:inline>
        </w:drawing>
      </w:r>
    </w:p>
    <w:p>
      <w:pPr>
        <w:spacing w:before="120" w:after="120" w:line="288" w:lineRule="auto"/>
        <w:ind w:left="453"/>
        <w:jc w:val="center"/>
      </w:pPr>
      <w:r>
        <w:rPr>
          <w:rFonts w:eastAsia="等线" w:ascii="Arial" w:cs="Arial" w:hAnsi="Arial"/>
          <w:color w:val="8F959E"/>
          <w:sz w:val="22"/>
        </w:rPr>
        <w:t>紧急排课需选择包含今天</w:t>
        <w:br/>
      </w:r>
    </w:p>
    <w:p>
      <w:pPr>
        <w:numPr>
          <w:numId w:val="15"/>
        </w:numPr>
        <w:spacing w:before="120" w:after="120" w:line="288" w:lineRule="auto"/>
        <w:ind w:left="453"/>
        <w:jc w:val="left"/>
      </w:pPr>
      <w:r>
        <w:rPr>
          <w:rFonts w:eastAsia="等线" w:ascii="Arial" w:cs="Arial" w:hAnsi="Arial"/>
          <w:sz w:val="22"/>
        </w:rPr>
        <w:t>点击新增即可跳转相应功能，不用首页来回跳转。</w:t>
      </w:r>
    </w:p>
    <w:p>
      <w:pPr>
        <w:spacing w:before="120" w:after="120" w:line="288" w:lineRule="auto"/>
        <w:ind w:left="0"/>
        <w:jc w:val="center"/>
      </w:pPr>
      <w:r>
        <w:drawing>
          <wp:inline distT="0" distR="0" distB="0" distL="0">
            <wp:extent cx="5257800" cy="123825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22"/>
                    <a:stretch>
                      <a:fillRect/>
                    </a:stretch>
                  </pic:blipFill>
                  <pic:spPr>
                    <a:xfrm>
                      <a:off x="0" y="0"/>
                      <a:ext cx="5257800" cy="1238250"/>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可点击新增直接进行功能跳转</w:t>
        <w:br/>
      </w:r>
    </w:p>
    <w:p>
      <w:pPr>
        <w:pStyle w:val="1"/>
        <w:spacing w:before="380" w:after="140" w:line="288" w:lineRule="auto"/>
        <w:ind w:left="0"/>
        <w:jc w:val="left"/>
        <w:outlineLvl w:val="0"/>
      </w:pPr>
      <w:bookmarkStart w:name="heading_15" w:id="15"/>
      <w:r>
        <w:rPr>
          <w:rFonts w:eastAsia="等线" w:ascii="Arial" w:cs="Arial" w:hAnsi="Arial"/>
          <w:b w:val="true"/>
          <w:sz w:val="36"/>
        </w:rPr>
        <w:t>四、全域数据分析体系</w:t>
      </w:r>
      <w:bookmarkEnd w:id="15"/>
    </w:p>
    <w:p>
      <w:pPr>
        <w:spacing w:before="120" w:after="120" w:line="288" w:lineRule="auto"/>
        <w:ind w:left="0"/>
        <w:jc w:val="left"/>
      </w:pPr>
      <w:r>
        <w:rPr>
          <w:rFonts w:eastAsia="等线" w:ascii="Arial" w:cs="Arial" w:hAnsi="Arial"/>
          <w:sz w:val="22"/>
        </w:rPr>
        <w:t>以财务健康、学生黏性、教学成效、运营效能、增长动能五大核心维度为支撑，建立全覆盖的运营指标监测体系，精准呈现学校整体运营态势；运营健康指数按月度更新，手动录入校区基本信息即可进行计算，每月 1 日自动同步上一自然月的全量统计数据。</w:t>
      </w:r>
    </w:p>
    <w:p>
      <w:pPr>
        <w:spacing w:before="120" w:after="120" w:line="288" w:lineRule="auto"/>
        <w:ind w:left="0"/>
        <w:jc w:val="center"/>
      </w:pPr>
      <w:r>
        <w:drawing>
          <wp:inline distT="0" distR="0" distB="0" distL="0">
            <wp:extent cx="5257800" cy="2257425"/>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23"/>
                    <a:stretch>
                      <a:fillRect/>
                    </a:stretch>
                  </pic:blipFill>
                  <pic:spPr>
                    <a:xfrm>
                      <a:off x="0" y="0"/>
                      <a:ext cx="5257800" cy="225742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学校安全运营平台可查看校区健康指数</w:t>
        <w:br/>
      </w:r>
    </w:p>
    <w:tbl>
      <w:tblPr>
        <w:tblW w:w="0" w:type="auto"/>
        <w:tblInd w:w="0" w:type="dxa"/>
        <w:tblBorders>
          <w:top w:val="none" w:space="4"/>
          <w:left w:val="none" w:space="4"/>
          <w:bottom w:val="none" w:space="4"/>
          <w:right w:val="none" w:space="4"/>
          <w:insideH w:val="none" w:space="4"/>
          <w:insideV w:val="none" w:space="4"/>
        </w:tblBorders>
        <w:tblLayout w:type="fixed"/>
      </w:tblPr>
      <w:tblGrid>
        <w:gridCol w:w="4440"/>
        <w:gridCol w:w="3839"/>
      </w:tblGrid>
      <w:tr>
        <w:tc>
          <w:tcPr>
            <w:tcW w:w="4440" w:type="dxa"/>
            <w:tcMar>
              <w:top w:type="dxa" w:w="60"/>
              <w:left w:type="dxa" w:w="120"/>
              <w:bottom w:type="dxa" w:w="30"/>
              <w:right w:type="dxa" w:w="120"/>
            </w:tcMar>
          </w:tcPr>
          <w:p>
            <w:pPr>
              <w:spacing w:before="120" w:after="120" w:line="288" w:lineRule="auto"/>
              <w:ind w:left="0"/>
              <w:jc w:val="center"/>
            </w:pPr>
            <w:r>
              <w:drawing>
                <wp:inline distT="0" distR="0" distB="0" distL="0">
                  <wp:extent cx="2667000" cy="1285875"/>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24"/>
                          <a:stretch>
                            <a:fillRect/>
                          </a:stretch>
                        </pic:blipFill>
                        <pic:spPr>
                          <a:xfrm>
                            <a:off x="0" y="0"/>
                            <a:ext cx="2667000" cy="128587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录入成本后才可进行健康指数计算</w:t>
              <w:br/>
            </w:r>
          </w:p>
        </w:tc>
        <w:tc>
          <w:tcPr>
            <w:tcW w:w="3839" w:type="dxa"/>
            <w:tcMar>
              <w:top w:type="dxa" w:w="60"/>
              <w:left w:type="dxa" w:w="120"/>
              <w:bottom w:type="dxa" w:w="30"/>
              <w:right w:type="dxa" w:w="120"/>
            </w:tcMar>
          </w:tcPr>
          <w:p>
            <w:pPr>
              <w:spacing w:before="120" w:after="120" w:line="288" w:lineRule="auto"/>
              <w:ind w:left="0"/>
              <w:jc w:val="center"/>
            </w:pPr>
            <w:r>
              <w:drawing>
                <wp:inline distT="0" distR="0" distB="0" distL="0">
                  <wp:extent cx="2276475" cy="85725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25"/>
                          <a:stretch>
                            <a:fillRect/>
                          </a:stretch>
                        </pic:blipFill>
                        <pic:spPr>
                          <a:xfrm>
                            <a:off x="0" y="0"/>
                            <a:ext cx="2276475" cy="857250"/>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根据校区实际情况进行校区成本录入</w:t>
              <w:br/>
            </w:r>
          </w:p>
        </w:tc>
      </w:tr>
    </w:tbl>
    <w:p>
      <w:pPr>
        <w:pStyle w:val="3"/>
        <w:spacing w:before="300" w:after="120" w:line="288" w:lineRule="auto"/>
        <w:ind w:left="0"/>
        <w:jc w:val="left"/>
        <w:outlineLvl w:val="2"/>
      </w:pPr>
      <w:bookmarkStart w:name="heading_16" w:id="16"/>
      <w:r>
        <w:rPr>
          <w:rFonts w:eastAsia="等线" w:ascii="Arial" w:cs="Arial" w:hAnsi="Arial"/>
          <w:b w:val="true"/>
          <w:sz w:val="30"/>
        </w:rPr>
        <w:t>第一节 财务健康</w:t>
      </w:r>
      <w:bookmarkEnd w:id="16"/>
    </w:p>
    <w:p>
      <w:pPr>
        <w:spacing w:before="120" w:after="120" w:line="288" w:lineRule="auto"/>
        <w:ind w:left="0"/>
        <w:jc w:val="left"/>
      </w:pPr>
      <w:r>
        <w:rPr>
          <w:rFonts w:eastAsia="等线" w:ascii="Arial" w:cs="Arial" w:hAnsi="Arial"/>
          <w:sz w:val="22"/>
        </w:rPr>
        <w:t>课消率和预售结余率是预付费模式财务健康的核心指标，两者共同反映业务的现金流质量与盈利真实性，课消率聚焦 “收入兑现”，预售结余率聚焦 “资金安全”。健康的学校运营，需要 “高课消率 + 合理预售结余率”：比如课消率 80% 以上，结余率 30%-40%。</w:t>
      </w:r>
    </w:p>
    <w:p>
      <w:pPr>
        <w:numPr>
          <w:numId w:val="16"/>
        </w:numPr>
        <w:spacing w:before="120" w:after="120" w:line="288" w:lineRule="auto"/>
        <w:ind w:left="0"/>
        <w:jc w:val="left"/>
      </w:pPr>
      <w:r>
        <w:rPr>
          <w:rFonts w:eastAsia="等线" w:ascii="Arial" w:cs="Arial" w:hAnsi="Arial"/>
          <w:b w:val="true"/>
          <w:sz w:val="22"/>
        </w:rPr>
        <w:t>课消率</w:t>
      </w:r>
    </w:p>
    <w:p>
      <w:pPr>
        <w:numPr>
          <w:numId w:val="17"/>
        </w:numPr>
        <w:spacing w:before="120" w:after="120" w:line="288" w:lineRule="auto"/>
        <w:ind w:left="453"/>
        <w:jc w:val="left"/>
      </w:pPr>
      <w:r>
        <w:rPr>
          <w:rFonts w:eastAsia="等线" w:ascii="Arial" w:cs="Arial" w:hAnsi="Arial"/>
          <w:sz w:val="22"/>
        </w:rPr>
        <w:t>定义：已售卖的预付费产品（如课程、服务套餐）中，用户实际消费的部分占比。</w:t>
      </w:r>
    </w:p>
    <w:p>
      <w:pPr>
        <w:numPr>
          <w:numId w:val="18"/>
        </w:numPr>
        <w:spacing w:before="120" w:after="120" w:line="288" w:lineRule="auto"/>
        <w:ind w:left="453"/>
        <w:jc w:val="left"/>
      </w:pPr>
      <w:r>
        <w:rPr>
          <w:rFonts w:eastAsia="等线" w:ascii="Arial" w:cs="Arial" w:hAnsi="Arial"/>
          <w:sz w:val="22"/>
        </w:rPr>
        <w:t>核心意义：预付费收入仅为 “合同负债”，只有完成课消才会转化为真实收入，课消率直接决定盈利是否落地。</w:t>
      </w:r>
    </w:p>
    <w:p>
      <w:pPr>
        <w:numPr>
          <w:numId w:val="19"/>
        </w:numPr>
        <w:spacing w:before="120" w:after="120" w:line="288" w:lineRule="auto"/>
        <w:ind w:left="453"/>
        <w:jc w:val="left"/>
      </w:pPr>
      <w:r>
        <w:rPr>
          <w:rFonts w:eastAsia="等线" w:ascii="Arial" w:cs="Arial" w:hAnsi="Arial"/>
          <w:sz w:val="22"/>
        </w:rPr>
        <w:t>学校运营关联：高课消率意味着学生出勤率高、教学质量被认可，也能减少 “未课消退费” 风险；低课消率可能是教学效果差、课程吸引力不足，还会导致收入虚高 —— 看似现金流充裕，实则有大量未兑现的课程，后续可能面临集中退费。</w:t>
      </w:r>
    </w:p>
    <w:p>
      <w:pPr>
        <w:numPr>
          <w:numId w:val="20"/>
        </w:numPr>
        <w:spacing w:before="120" w:after="120" w:line="288" w:lineRule="auto"/>
        <w:ind w:left="0"/>
        <w:jc w:val="left"/>
      </w:pPr>
      <w:r>
        <w:rPr>
          <w:rFonts w:eastAsia="等线" w:ascii="Arial" w:cs="Arial" w:hAnsi="Arial"/>
          <w:b w:val="true"/>
          <w:sz w:val="22"/>
        </w:rPr>
        <w:t>预售结余率</w:t>
      </w:r>
    </w:p>
    <w:p>
      <w:pPr>
        <w:numPr>
          <w:numId w:val="21"/>
        </w:numPr>
        <w:spacing w:before="120" w:after="120" w:line="288" w:lineRule="auto"/>
        <w:ind w:left="453"/>
        <w:jc w:val="left"/>
      </w:pPr>
      <w:r>
        <w:rPr>
          <w:rFonts w:eastAsia="等线" w:ascii="Arial" w:cs="Arial" w:hAnsi="Arial"/>
          <w:sz w:val="22"/>
        </w:rPr>
        <w:t>定义：尚未被用户消费的预售资金（预售总收入 - 已课消金额）占预售总收入的比例。</w:t>
      </w:r>
    </w:p>
    <w:p>
      <w:pPr>
        <w:numPr>
          <w:numId w:val="22"/>
        </w:numPr>
        <w:spacing w:before="120" w:after="120" w:line="288" w:lineRule="auto"/>
        <w:ind w:left="453"/>
        <w:jc w:val="left"/>
      </w:pPr>
      <w:r>
        <w:rPr>
          <w:rFonts w:eastAsia="等线" w:ascii="Arial" w:cs="Arial" w:hAnsi="Arial"/>
          <w:sz w:val="22"/>
        </w:rPr>
        <w:t>核心意义：反映未兑现的资金规模，平衡 “现金流充裕度” 与 “履约压力”。</w:t>
      </w:r>
    </w:p>
    <w:p>
      <w:pPr>
        <w:numPr>
          <w:numId w:val="23"/>
        </w:numPr>
        <w:spacing w:before="120" w:after="120" w:line="288" w:lineRule="auto"/>
        <w:ind w:left="453"/>
        <w:jc w:val="left"/>
      </w:pPr>
      <w:r>
        <w:rPr>
          <w:rFonts w:eastAsia="等线" w:ascii="Arial" w:cs="Arial" w:hAnsi="Arial"/>
          <w:sz w:val="22"/>
        </w:rPr>
        <w:t>学校运营关联：结余率过高（比如超过 60%），可能是招生太激进但教学承载能力不足 —— 比如招了太多学生，师资、教室不够，无法及时安排上课，容易引发家长投诉和退费；结余率过低（比如低于 20%），可能是招生乏力，新签学生少，现金流难以支撑房租、师资工资等固定成本。</w:t>
      </w:r>
    </w:p>
    <w:p>
      <w:pPr>
        <w:pStyle w:val="3"/>
        <w:spacing w:before="300" w:after="120" w:line="288" w:lineRule="auto"/>
        <w:ind w:left="0"/>
        <w:jc w:val="left"/>
        <w:outlineLvl w:val="2"/>
      </w:pPr>
      <w:bookmarkStart w:name="heading_17" w:id="17"/>
      <w:r>
        <w:rPr>
          <w:rFonts w:eastAsia="等线" w:ascii="Arial" w:cs="Arial" w:hAnsi="Arial"/>
          <w:b w:val="true"/>
          <w:sz w:val="30"/>
        </w:rPr>
        <w:t>第二节 学员黏性</w:t>
      </w:r>
      <w:bookmarkEnd w:id="17"/>
    </w:p>
    <w:p>
      <w:pPr>
        <w:spacing w:before="120" w:after="120" w:line="288" w:lineRule="auto"/>
        <w:ind w:left="0"/>
        <w:jc w:val="left"/>
      </w:pPr>
      <w:r>
        <w:rPr>
          <w:rFonts w:eastAsia="等线" w:ascii="Arial" w:cs="Arial" w:hAnsi="Arial"/>
          <w:sz w:val="22"/>
        </w:rPr>
        <w:t>续费率和退费率呈反向关联：续费率越高，退费率通常越低，反之亦然，共同构成 “生源留存闭环”。对学校而言，“高续费率 + 低退费率” 是健康状态：既保证生源稳定，减少招生依赖，又能通过口碑积累降低获客成本；若只追新招而忽视留存，会陷入 “招 100 人退 50 人” 的恶性循环，运营成本居高不下。</w:t>
      </w:r>
    </w:p>
    <w:p>
      <w:pPr>
        <w:numPr>
          <w:numId w:val="24"/>
        </w:numPr>
        <w:spacing w:before="120" w:after="120" w:line="288" w:lineRule="auto"/>
        <w:ind w:left="0"/>
        <w:jc w:val="left"/>
      </w:pPr>
      <w:r>
        <w:rPr>
          <w:rFonts w:eastAsia="等线" w:ascii="Arial" w:cs="Arial" w:hAnsi="Arial"/>
          <w:b w:val="true"/>
          <w:sz w:val="22"/>
        </w:rPr>
        <w:t>续费率</w:t>
      </w:r>
      <w:r>
        <w:rPr>
          <w:rFonts w:eastAsia="等线" w:ascii="Arial" w:cs="Arial" w:hAnsi="Arial"/>
          <w:sz w:val="22"/>
        </w:rPr>
        <w:t xml:space="preserve"> </w:t>
      </w:r>
    </w:p>
    <w:p>
      <w:pPr>
        <w:numPr>
          <w:numId w:val="25"/>
        </w:numPr>
        <w:spacing w:before="120" w:after="120" w:line="288" w:lineRule="auto"/>
        <w:ind w:left="453"/>
        <w:jc w:val="left"/>
      </w:pPr>
      <w:r>
        <w:rPr>
          <w:rFonts w:eastAsia="等线" w:ascii="Arial" w:cs="Arial" w:hAnsi="Arial"/>
          <w:sz w:val="22"/>
        </w:rPr>
        <w:t>定义：统计周期内（如学期末、学年末），完成当前课程 / 学段的老生，选择继续报名下一阶段课程 / 学段的比例（比如100名三年级老生，85名续报四年级，续费率就是85%）。</w:t>
      </w:r>
    </w:p>
    <w:p>
      <w:pPr>
        <w:numPr>
          <w:numId w:val="26"/>
        </w:numPr>
        <w:spacing w:before="120" w:after="120" w:line="288" w:lineRule="auto"/>
        <w:ind w:left="453"/>
        <w:jc w:val="left"/>
      </w:pPr>
      <w:r>
        <w:rPr>
          <w:rFonts w:eastAsia="等线" w:ascii="Arial" w:cs="Arial" w:hAnsi="Arial"/>
          <w:sz w:val="22"/>
        </w:rPr>
        <w:t>核心意义：续费率是家长对学校教学质量、服务水平的直接投票，也是学校 “内生增长” 的核心来源。</w:t>
      </w:r>
    </w:p>
    <w:p>
      <w:pPr>
        <w:numPr>
          <w:numId w:val="27"/>
        </w:numPr>
        <w:spacing w:before="120" w:after="120" w:line="288" w:lineRule="auto"/>
        <w:ind w:left="453"/>
        <w:jc w:val="left"/>
      </w:pPr>
      <w:r>
        <w:rPr>
          <w:rFonts w:eastAsia="等线" w:ascii="Arial" w:cs="Arial" w:hAnsi="Arial"/>
          <w:sz w:val="22"/>
        </w:rPr>
        <w:t>学校运营关联：高续费率意味着教学效果被认可、家校关系顺畅，能减少招生成本 —— 老生续报比新招学生的获客成本低 50% 以上，还能带动口碑转介绍；低续费率可能是教学下滑、课程衔接不畅，或竞品分流，长期会导致生源断层，运营压力陡增。</w:t>
      </w:r>
    </w:p>
    <w:p>
      <w:pPr>
        <w:numPr>
          <w:numId w:val="28"/>
        </w:numPr>
        <w:spacing w:before="120" w:after="120" w:line="288" w:lineRule="auto"/>
        <w:ind w:left="0"/>
        <w:jc w:val="left"/>
      </w:pPr>
      <w:r>
        <w:rPr>
          <w:rFonts w:eastAsia="等线" w:ascii="Arial" w:cs="Arial" w:hAnsi="Arial"/>
          <w:b w:val="true"/>
          <w:sz w:val="22"/>
        </w:rPr>
        <w:t xml:space="preserve">退费率 </w:t>
      </w:r>
    </w:p>
    <w:p>
      <w:pPr>
        <w:numPr>
          <w:numId w:val="29"/>
        </w:numPr>
        <w:spacing w:before="120" w:after="120" w:line="288" w:lineRule="auto"/>
        <w:ind w:left="453"/>
        <w:jc w:val="left"/>
      </w:pPr>
      <w:r>
        <w:rPr>
          <w:rFonts w:eastAsia="等线" w:ascii="Arial" w:cs="Arial" w:hAnsi="Arial"/>
          <w:sz w:val="22"/>
        </w:rPr>
        <w:t>定义：统计周期内（如月度、学期内），已报名缴费的学生中，申请退费并成功的比例（比如当月有 200 名在读学生，10 名退费，退费率就是 5%）。</w:t>
      </w:r>
    </w:p>
    <w:p>
      <w:pPr>
        <w:numPr>
          <w:numId w:val="30"/>
        </w:numPr>
        <w:spacing w:before="120" w:after="120" w:line="288" w:lineRule="auto"/>
        <w:ind w:left="453"/>
        <w:jc w:val="left"/>
      </w:pPr>
      <w:r>
        <w:rPr>
          <w:rFonts w:eastAsia="等线" w:ascii="Arial" w:cs="Arial" w:hAnsi="Arial"/>
          <w:sz w:val="22"/>
        </w:rPr>
        <w:t>核心意义：退费率是运营问题的 “显性信号”，直接侵蚀现金流和品牌口碑。</w:t>
      </w:r>
    </w:p>
    <w:p>
      <w:pPr>
        <w:numPr>
          <w:numId w:val="31"/>
        </w:numPr>
        <w:spacing w:before="120" w:after="120" w:line="288" w:lineRule="auto"/>
        <w:ind w:left="453"/>
        <w:jc w:val="left"/>
      </w:pPr>
      <w:r>
        <w:rPr>
          <w:rFonts w:eastAsia="等线" w:ascii="Arial" w:cs="Arial" w:hAnsi="Arial"/>
          <w:sz w:val="22"/>
        </w:rPr>
        <w:t>学校运营关联：退费率过高（比如超过 8%）往往指向具体问题 —— 可能是教学质量不达标、师资频繁变动、排课不合理，或家校沟通缺位（如家长对孩子进步感知不足）；低退费率（比如控制在 3% 以内）则说明服务履约能力强，学生和家长的满意度高，能降低资金链风险（尤其预付费模式下，集中退费可能引发现金流危机）。</w:t>
      </w:r>
    </w:p>
    <w:p>
      <w:pPr>
        <w:pStyle w:val="3"/>
        <w:spacing w:before="300" w:after="120" w:line="288" w:lineRule="auto"/>
        <w:ind w:left="0"/>
        <w:jc w:val="left"/>
        <w:outlineLvl w:val="2"/>
      </w:pPr>
      <w:bookmarkStart w:name="heading_18" w:id="18"/>
      <w:r>
        <w:rPr>
          <w:rFonts w:eastAsia="等线" w:ascii="Arial" w:cs="Arial" w:hAnsi="Arial"/>
          <w:b w:val="true"/>
          <w:sz w:val="30"/>
        </w:rPr>
        <w:t>第三节 教学成效</w:t>
      </w:r>
      <w:bookmarkEnd w:id="18"/>
    </w:p>
    <w:p>
      <w:pPr>
        <w:spacing w:before="120" w:after="120" w:line="288" w:lineRule="auto"/>
        <w:ind w:left="0"/>
        <w:jc w:val="left"/>
      </w:pPr>
      <w:r>
        <w:rPr>
          <w:rFonts w:eastAsia="等线" w:ascii="Arial" w:cs="Arial" w:hAnsi="Arial"/>
          <w:sz w:val="22"/>
        </w:rPr>
        <w:t>到课率是答题正确率的 “基础”：只有学生持续到课，才能跟上教学进度、吸收知识点，正确率才有提升的可能；反之，频繁缺课会导致知识脱节，再优质的教学也难提升正确率。答题正确率是到课率的 “催化剂”：学生答题正确率高，能获得成就感，会更愿意主动到课；反之，长期正确率低会让学生产生挫败感，进而逃避上课，形成 “低到课→ 低正确率” 的恶性循环。与运营指标深度绑定：高到课率能带动课消率提升，高正确率能支撑续费率、降低退费率，两者共同构成 “教学成效 → 运营健康” 的正向闭环；若任一指标表现不佳，都会从源头影响学校的长期发展。</w:t>
      </w:r>
    </w:p>
    <w:p>
      <w:pPr>
        <w:numPr>
          <w:numId w:val="32"/>
        </w:numPr>
        <w:spacing w:before="120" w:after="120" w:line="288" w:lineRule="auto"/>
        <w:ind w:left="0"/>
        <w:jc w:val="left"/>
      </w:pPr>
      <w:r>
        <w:rPr>
          <w:rFonts w:eastAsia="等线" w:ascii="Arial" w:cs="Arial" w:hAnsi="Arial"/>
          <w:b w:val="true"/>
          <w:sz w:val="22"/>
        </w:rPr>
        <w:t>答题正确率</w:t>
      </w:r>
    </w:p>
    <w:p>
      <w:pPr>
        <w:numPr>
          <w:numId w:val="33"/>
        </w:numPr>
        <w:spacing w:before="120" w:after="120" w:line="288" w:lineRule="auto"/>
        <w:ind w:left="453"/>
        <w:jc w:val="left"/>
      </w:pPr>
      <w:r>
        <w:rPr>
          <w:rFonts w:eastAsia="等线" w:ascii="Arial" w:cs="Arial" w:hAnsi="Arial"/>
          <w:sz w:val="22"/>
        </w:rPr>
        <w:t>定义：学生在课堂练习、课后作业、阶段测试中，答对题目数量占总题目数量的比例（比如 10 道随堂测题答对 8 道，正确率就是 80%）。</w:t>
      </w:r>
    </w:p>
    <w:p>
      <w:pPr>
        <w:numPr>
          <w:numId w:val="34"/>
        </w:numPr>
        <w:spacing w:before="120" w:after="120" w:line="288" w:lineRule="auto"/>
        <w:ind w:left="453"/>
        <w:jc w:val="left"/>
      </w:pPr>
      <w:r>
        <w:rPr>
          <w:rFonts w:eastAsia="等线" w:ascii="Arial" w:cs="Arial" w:hAnsi="Arial"/>
          <w:sz w:val="22"/>
        </w:rPr>
        <w:t>核心意义：直观反映学生对知识点的掌握程度，也是学管师教学方法、学情把握能力的 “试金石”。</w:t>
      </w:r>
    </w:p>
    <w:p>
      <w:pPr>
        <w:numPr>
          <w:numId w:val="35"/>
        </w:numPr>
        <w:spacing w:before="120" w:after="120" w:line="288" w:lineRule="auto"/>
        <w:ind w:left="453"/>
        <w:jc w:val="left"/>
      </w:pPr>
      <w:r>
        <w:rPr>
          <w:rFonts w:eastAsia="等线" w:ascii="Arial" w:cs="Arial" w:hAnsi="Arial"/>
          <w:sz w:val="22"/>
        </w:rPr>
        <w:t>学校运营关联：高正确率（如课堂练习≥85%、阶段测试≥75%）说明教学内容适配学生水平、讲解到位，家长能清晰看到孩子进步，续费率会自然提升；低正确率（如低于 60%）可能是教学节奏过快、知识点讲解不透彻，或学生基础薄弱未被关注，容易引发家长对教学质量的质疑，甚至触发退费。</w:t>
      </w:r>
    </w:p>
    <w:p>
      <w:pPr>
        <w:numPr>
          <w:numId w:val="36"/>
        </w:numPr>
        <w:spacing w:before="120" w:after="120" w:line="288" w:lineRule="auto"/>
        <w:ind w:left="0"/>
        <w:jc w:val="left"/>
      </w:pPr>
      <w:r>
        <w:rPr>
          <w:rFonts w:eastAsia="等线" w:ascii="Arial" w:cs="Arial" w:hAnsi="Arial"/>
          <w:b w:val="true"/>
          <w:sz w:val="22"/>
        </w:rPr>
        <w:t>到课率</w:t>
      </w:r>
    </w:p>
    <w:p>
      <w:pPr>
        <w:numPr>
          <w:numId w:val="37"/>
        </w:numPr>
        <w:spacing w:before="120" w:after="120" w:line="288" w:lineRule="auto"/>
        <w:ind w:left="453"/>
        <w:jc w:val="left"/>
      </w:pPr>
      <w:r>
        <w:rPr>
          <w:rFonts w:eastAsia="等线" w:ascii="Arial" w:cs="Arial" w:hAnsi="Arial"/>
          <w:sz w:val="22"/>
        </w:rPr>
        <w:t>定义：统计周期内，以应到课学生总数为统计基数，实际参与课堂教学的学生数所占的百分比（举例：班级应到课人数 40 人，某节课实际到课 36 人，经计算该节课到课率为 90%）。</w:t>
      </w:r>
    </w:p>
    <w:p>
      <w:pPr>
        <w:numPr>
          <w:numId w:val="38"/>
        </w:numPr>
        <w:spacing w:before="120" w:after="120" w:line="288" w:lineRule="auto"/>
        <w:ind w:left="453"/>
        <w:jc w:val="left"/>
      </w:pPr>
      <w:r>
        <w:rPr>
          <w:rFonts w:eastAsia="等线" w:ascii="Arial" w:cs="Arial" w:hAnsi="Arial"/>
          <w:sz w:val="22"/>
        </w:rPr>
        <w:t>核心意义：若学生未能实际参与课堂，即便教学方案再完善，也无法转化为实际教学成果；到课率作为核心教学指标，直接决定了教学覆盖的广度与实施成效。</w:t>
      </w:r>
    </w:p>
    <w:p>
      <w:pPr>
        <w:numPr>
          <w:numId w:val="39"/>
        </w:numPr>
        <w:spacing w:before="120" w:after="120" w:line="288" w:lineRule="auto"/>
        <w:ind w:left="453"/>
        <w:jc w:val="left"/>
      </w:pPr>
      <w:r>
        <w:rPr>
          <w:rFonts w:eastAsia="等线" w:ascii="Arial" w:cs="Arial" w:hAnsi="Arial"/>
          <w:sz w:val="22"/>
        </w:rPr>
        <w:t>学校运营关联：高到课率（比如稳定在 95% 以上）意味着学生学习主动性强、课程吸引力足，也能保障课消率稳定提升；低到课率（如低于 85%）可能是排课与学生时间冲突、课堂趣味性不足、家校督促缺位，长期会导致课消滞后、学生学业断层，进而影响续报意愿。</w:t>
      </w:r>
    </w:p>
    <w:p>
      <w:pPr>
        <w:pStyle w:val="3"/>
        <w:spacing w:before="300" w:after="120" w:line="288" w:lineRule="auto"/>
        <w:ind w:left="0"/>
        <w:jc w:val="left"/>
        <w:outlineLvl w:val="2"/>
      </w:pPr>
      <w:bookmarkStart w:name="heading_19" w:id="19"/>
      <w:r>
        <w:rPr>
          <w:rFonts w:eastAsia="等线" w:ascii="Arial" w:cs="Arial" w:hAnsi="Arial"/>
          <w:b w:val="true"/>
          <w:sz w:val="30"/>
        </w:rPr>
        <w:t>第四节 运营效能</w:t>
      </w:r>
      <w:bookmarkEnd w:id="19"/>
    </w:p>
    <w:p>
      <w:pPr>
        <w:spacing w:before="120" w:after="120" w:line="288" w:lineRule="auto"/>
        <w:ind w:left="0"/>
        <w:jc w:val="left"/>
      </w:pPr>
      <w:r>
        <w:rPr>
          <w:rFonts w:eastAsia="等线" w:ascii="Arial" w:cs="Arial" w:hAnsi="Arial"/>
          <w:sz w:val="22"/>
        </w:rPr>
        <w:t>健康的运营状态需要 “高人效 + 高坪效”：比如通过 “大班授课 + 分层辅导” 平衡坪效与人效，或通过 “行政一人多岗” 提升管理岗人效，减少冗余成本。与核心指标深度绑定：高人效能支撑高课消率（学管师授课足、产出高），高坪效能降低单生场地成本，两者共同提升 “课消利润”，进而支撑续费率（成本可控才能投入更多教学服务）。</w:t>
      </w:r>
    </w:p>
    <w:p>
      <w:pPr>
        <w:numPr>
          <w:numId w:val="40"/>
        </w:numPr>
        <w:spacing w:before="120" w:after="120" w:line="288" w:lineRule="auto"/>
        <w:ind w:left="0"/>
        <w:jc w:val="left"/>
      </w:pPr>
      <w:r>
        <w:rPr>
          <w:rFonts w:eastAsia="等线" w:ascii="Arial" w:cs="Arial" w:hAnsi="Arial"/>
          <w:b w:val="true"/>
          <w:sz w:val="22"/>
        </w:rPr>
        <w:t>人效</w:t>
      </w:r>
      <w:r>
        <w:rPr>
          <w:rFonts w:eastAsia="等线" w:ascii="Arial" w:cs="Arial" w:hAnsi="Arial"/>
          <w:sz w:val="22"/>
        </w:rPr>
        <w:t xml:space="preserve"> </w:t>
      </w:r>
    </w:p>
    <w:p>
      <w:pPr>
        <w:numPr>
          <w:numId w:val="41"/>
        </w:numPr>
        <w:spacing w:before="120" w:after="120" w:line="288" w:lineRule="auto"/>
        <w:ind w:left="453"/>
        <w:jc w:val="left"/>
      </w:pPr>
      <w:r>
        <w:rPr>
          <w:rFonts w:eastAsia="等线" w:ascii="Arial" w:cs="Arial" w:hAnsi="Arial"/>
          <w:sz w:val="22"/>
        </w:rPr>
        <w:t>定义：学校教职工（核心是学管师，含行政、教务）的 “单位人力产出”，核心计算维度包括 “学管师人均课消额” “学管师人均服务学生数” “行政人均管理学生数”（比如 1 名学管师年带动课消 20 万，或 1 名学管师服务 80 名在读学生）。</w:t>
      </w:r>
    </w:p>
    <w:p>
      <w:pPr>
        <w:numPr>
          <w:numId w:val="42"/>
        </w:numPr>
        <w:spacing w:before="120" w:after="120" w:line="288" w:lineRule="auto"/>
        <w:ind w:left="453"/>
        <w:jc w:val="left"/>
      </w:pPr>
      <w:r>
        <w:rPr>
          <w:rFonts w:eastAsia="等线" w:ascii="Arial" w:cs="Arial" w:hAnsi="Arial"/>
          <w:sz w:val="22"/>
        </w:rPr>
        <w:t>核心意义：人力成本（工资、社保）是学校最大的固定成本之一，人效直接反映 “每花 1 块钱人力成本能带来多少收益”。</w:t>
      </w:r>
    </w:p>
    <w:p>
      <w:pPr>
        <w:numPr>
          <w:numId w:val="43"/>
        </w:numPr>
        <w:spacing w:before="120" w:after="120" w:line="288" w:lineRule="auto"/>
        <w:ind w:left="453"/>
        <w:jc w:val="left"/>
      </w:pPr>
      <w:r>
        <w:rPr>
          <w:rFonts w:eastAsia="等线" w:ascii="Arial" w:cs="Arial" w:hAnsi="Arial"/>
          <w:sz w:val="22"/>
        </w:rPr>
        <w:t>学校运营关联：高人效（如 K12 学管师人均年课消≥18 万）意味着师资配置合理、教学产出高效，能摊薄单生人力成本；低人效可能是生师比过低（学管师闲置）、学管师授课能力不足（课消带动弱）、行政人员冗余（管理成本高），会直接挤压利润空间。</w:t>
      </w:r>
    </w:p>
    <w:p>
      <w:pPr>
        <w:numPr>
          <w:numId w:val="44"/>
        </w:numPr>
        <w:spacing w:before="120" w:after="120" w:line="288" w:lineRule="auto"/>
        <w:ind w:left="0"/>
        <w:jc w:val="left"/>
      </w:pPr>
      <w:r>
        <w:rPr>
          <w:rFonts w:eastAsia="等线" w:ascii="Arial" w:cs="Arial" w:hAnsi="Arial"/>
          <w:b w:val="true"/>
          <w:sz w:val="22"/>
        </w:rPr>
        <w:t xml:space="preserve">坪效  </w:t>
      </w:r>
    </w:p>
    <w:p>
      <w:pPr>
        <w:numPr>
          <w:numId w:val="45"/>
        </w:numPr>
        <w:spacing w:before="120" w:after="120" w:line="288" w:lineRule="auto"/>
        <w:ind w:left="453"/>
        <w:jc w:val="left"/>
      </w:pPr>
      <w:r>
        <w:rPr>
          <w:rFonts w:eastAsia="等线" w:ascii="Arial" w:cs="Arial" w:hAnsi="Arial"/>
          <w:sz w:val="22"/>
        </w:rPr>
        <w:t>定义：学校场地（教室、功能室、办公区）的 “单位面积产出”，核心计算维度是 “每平米年课消额” “每平米年均服务学生数”（比如 1 间 20 平米教室年课消 50 万，坪效就是 2.5 万 / 平米 / 年）。</w:t>
      </w:r>
    </w:p>
    <w:p>
      <w:pPr>
        <w:numPr>
          <w:numId w:val="46"/>
        </w:numPr>
        <w:spacing w:before="120" w:after="120" w:line="288" w:lineRule="auto"/>
        <w:ind w:left="453"/>
        <w:jc w:val="left"/>
      </w:pPr>
      <w:r>
        <w:rPr>
          <w:rFonts w:eastAsia="等线" w:ascii="Arial" w:cs="Arial" w:hAnsi="Arial"/>
          <w:sz w:val="22"/>
        </w:rPr>
        <w:t>核心意义：场地租金是第二大固定成本，坪效直接反映 “每 1 平米空间能创造多少价值”。</w:t>
      </w:r>
    </w:p>
    <w:p>
      <w:pPr>
        <w:numPr>
          <w:numId w:val="47"/>
        </w:numPr>
        <w:spacing w:before="120" w:after="120" w:line="288" w:lineRule="auto"/>
        <w:ind w:left="453"/>
        <w:jc w:val="left"/>
      </w:pPr>
      <w:r>
        <w:rPr>
          <w:rFonts w:eastAsia="等线" w:ascii="Arial" w:cs="Arial" w:hAnsi="Arial"/>
          <w:sz w:val="22"/>
        </w:rPr>
        <w:t>学校运营关联：高坪效（如核心教学区≥2 万 / 平米 / 年）意味着排课紧凑、班型合理（避免小班空座）、场地无闲置（如周末 / 晚间充分利用）；低坪效可能是教室闲置率高（如工作日白天空场）、班型过小（10 人班占 20 平米）、功能区冗余（如超大办公区），会让租金成本白白浪费。</w:t>
      </w:r>
    </w:p>
    <w:p>
      <w:pPr>
        <w:pStyle w:val="3"/>
        <w:spacing w:before="300" w:after="120" w:line="288" w:lineRule="auto"/>
        <w:ind w:left="0"/>
        <w:jc w:val="left"/>
        <w:outlineLvl w:val="2"/>
      </w:pPr>
      <w:bookmarkStart w:name="heading_20" w:id="20"/>
      <w:r>
        <w:rPr>
          <w:rFonts w:eastAsia="等线" w:ascii="Arial" w:cs="Arial" w:hAnsi="Arial"/>
          <w:b w:val="true"/>
          <w:sz w:val="30"/>
        </w:rPr>
        <w:t>第五节 增长动能</w:t>
      </w:r>
      <w:bookmarkEnd w:id="20"/>
    </w:p>
    <w:p>
      <w:pPr>
        <w:spacing w:before="120" w:after="120" w:line="288" w:lineRule="auto"/>
        <w:ind w:left="0"/>
        <w:jc w:val="left"/>
      </w:pPr>
      <w:r>
        <w:rPr>
          <w:rFonts w:eastAsia="等线" w:ascii="Arial" w:cs="Arial" w:hAnsi="Arial"/>
          <w:sz w:val="22"/>
        </w:rPr>
        <w:t>满班率是新生率的 “承接基础”：只有合理控制满班率（不超员、不闲置），才能腾出名额接收新生，同时高满班率带来的优质课堂氛围，还能提升新生报名意愿（家长更愿意选 “人气旺” 的班级）。新生率是满班率的 “补充动力”：新生能填补老生毕业、转学留下的空缺，维持班级满班状态，避免场地、师资闲置，进而提升人效和坪效。与核心指标深度绑定：新生率支撑课消总额增长（更多学生参与课消），满班率优化成本结构，两者共同推动 “规模扩张 + 利润提升”；若只追新生率不抓满班率，会出现 “招得多、闲置多” 的浪费；只抓满班率不拓新生率，长期会因生源自然流失陷入增长停滞。</w:t>
      </w:r>
    </w:p>
    <w:p>
      <w:pPr>
        <w:numPr>
          <w:numId w:val="48"/>
        </w:numPr>
        <w:spacing w:before="120" w:after="120" w:line="288" w:lineRule="auto"/>
        <w:ind w:left="0"/>
        <w:jc w:val="left"/>
      </w:pPr>
      <w:r>
        <w:rPr>
          <w:rFonts w:eastAsia="等线" w:ascii="Arial" w:cs="Arial" w:hAnsi="Arial"/>
          <w:b w:val="true"/>
          <w:sz w:val="22"/>
        </w:rPr>
        <w:t xml:space="preserve">满班率 </w:t>
      </w:r>
    </w:p>
    <w:p>
      <w:pPr>
        <w:numPr>
          <w:numId w:val="49"/>
        </w:numPr>
        <w:spacing w:before="120" w:after="120" w:line="288" w:lineRule="auto"/>
        <w:ind w:left="453"/>
        <w:jc w:val="left"/>
      </w:pPr>
      <w:r>
        <w:rPr>
          <w:rFonts w:eastAsia="等线" w:ascii="Arial" w:cs="Arial" w:hAnsi="Arial"/>
          <w:sz w:val="22"/>
        </w:rPr>
        <w:t>定义：学校各班级实际在读学生数，占班级额定人数的比例（比如某班额定 30 人，实际在读 27 人，满班率就是 90%）。</w:t>
      </w:r>
    </w:p>
    <w:p>
      <w:pPr>
        <w:numPr>
          <w:numId w:val="50"/>
        </w:numPr>
        <w:spacing w:before="120" w:after="120" w:line="288" w:lineRule="auto"/>
        <w:ind w:left="453"/>
        <w:jc w:val="left"/>
      </w:pPr>
      <w:r>
        <w:rPr>
          <w:rFonts w:eastAsia="等线" w:ascii="Arial" w:cs="Arial" w:hAnsi="Arial"/>
          <w:sz w:val="22"/>
        </w:rPr>
        <w:t>核心意义：衡量班级资源的利用效率，决定单班盈利能力，是 “把现有场地、师资用透” 的关键。</w:t>
      </w:r>
    </w:p>
    <w:p>
      <w:pPr>
        <w:numPr>
          <w:numId w:val="51"/>
        </w:numPr>
        <w:spacing w:before="120" w:after="120" w:line="288" w:lineRule="auto"/>
        <w:ind w:left="453"/>
        <w:jc w:val="left"/>
      </w:pPr>
      <w:r>
        <w:rPr>
          <w:rFonts w:eastAsia="等线" w:ascii="Arial" w:cs="Arial" w:hAnsi="Arial"/>
          <w:sz w:val="22"/>
        </w:rPr>
        <w:t>学校运营关联：高满班率（如稳定在 85%-95%）意味着招生精准、班级吸引力强，能摊薄单班的师资、场地成本，提升单班利润；低满班率（如低于 70%）会造成师资、教室闲置，比如 1 名学管师带 10 人小班（额定 20 人），人力成本不变但收入减半，直接拉低人效和坪效，还可能因班级人数少影响课堂互动氛围。</w:t>
      </w:r>
    </w:p>
    <w:p>
      <w:pPr>
        <w:numPr>
          <w:numId w:val="52"/>
        </w:numPr>
        <w:spacing w:before="120" w:after="120" w:line="288" w:lineRule="auto"/>
        <w:ind w:left="0"/>
        <w:jc w:val="left"/>
      </w:pPr>
      <w:r>
        <w:rPr>
          <w:rFonts w:eastAsia="等线" w:ascii="Arial" w:cs="Arial" w:hAnsi="Arial"/>
          <w:b w:val="true"/>
          <w:sz w:val="22"/>
        </w:rPr>
        <w:t>新生率</w:t>
      </w:r>
      <w:r>
        <w:rPr>
          <w:rFonts w:eastAsia="等线" w:ascii="Arial" w:cs="Arial" w:hAnsi="Arial"/>
          <w:sz w:val="22"/>
        </w:rPr>
        <w:t xml:space="preserve"> </w:t>
      </w:r>
    </w:p>
    <w:p>
      <w:pPr>
        <w:numPr>
          <w:numId w:val="53"/>
        </w:numPr>
        <w:spacing w:before="120" w:after="120" w:line="288" w:lineRule="auto"/>
        <w:ind w:left="453"/>
        <w:jc w:val="left"/>
      </w:pPr>
      <w:r>
        <w:rPr>
          <w:rFonts w:eastAsia="等线" w:ascii="Arial" w:cs="Arial" w:hAnsi="Arial"/>
          <w:sz w:val="22"/>
        </w:rPr>
        <w:t>定义：统计周期内，新增报名的学生数，占期末总在读学生数的比例（比如期末总在读 500 人，当期新增 150 人，新生率就是 30%）。</w:t>
      </w:r>
    </w:p>
    <w:p>
      <w:pPr>
        <w:numPr>
          <w:numId w:val="54"/>
        </w:numPr>
        <w:spacing w:before="120" w:after="120" w:line="288" w:lineRule="auto"/>
        <w:ind w:left="453"/>
        <w:jc w:val="left"/>
      </w:pPr>
      <w:r>
        <w:rPr>
          <w:rFonts w:eastAsia="等线" w:ascii="Arial" w:cs="Arial" w:hAnsi="Arial"/>
          <w:sz w:val="22"/>
        </w:rPr>
        <w:t>核心意义：反映学校的获客能力、品牌影响力，是生源规模扩张的核心来源。</w:t>
      </w:r>
    </w:p>
    <w:p>
      <w:pPr>
        <w:numPr>
          <w:numId w:val="55"/>
        </w:numPr>
        <w:spacing w:before="120" w:after="120" w:line="288" w:lineRule="auto"/>
        <w:ind w:left="453"/>
        <w:jc w:val="left"/>
      </w:pPr>
      <w:r>
        <w:rPr>
          <w:rFonts w:eastAsia="等线" w:ascii="Arial" w:cs="Arial" w:hAnsi="Arial"/>
          <w:sz w:val="22"/>
        </w:rPr>
        <w:t>学校运营关联：高新生率（如 K12 学校季度新生率≥15%）说明招生渠道有效（如口碑转介绍、社群运营、线下体验课）、品牌有吸引力，能填补毕业生流失、退费带来的生源缺口；低新生率（如低于 10%）意味着增长乏力，过度依赖老生续报，一旦续费率下滑，就会面临生源萎缩、现金流承压的风险。</w:t>
      </w:r>
    </w:p>
    <w:p>
      <w:pPr>
        <w:pStyle w:val="1"/>
        <w:spacing w:before="380" w:after="140" w:line="288" w:lineRule="auto"/>
        <w:ind w:left="0"/>
        <w:jc w:val="left"/>
        <w:outlineLvl w:val="0"/>
      </w:pPr>
      <w:bookmarkStart w:name="heading_21" w:id="21"/>
      <w:r>
        <w:rPr>
          <w:rFonts w:eastAsia="等线" w:ascii="Arial" w:cs="Arial" w:hAnsi="Arial"/>
          <w:b w:val="true"/>
          <w:sz w:val="36"/>
        </w:rPr>
        <w:t>五、核心运营管理模块</w:t>
      </w:r>
      <w:bookmarkEnd w:id="21"/>
    </w:p>
    <w:p>
      <w:pPr>
        <w:pStyle w:val="3"/>
        <w:spacing w:before="300" w:after="120" w:line="288" w:lineRule="auto"/>
        <w:ind w:left="0"/>
        <w:jc w:val="left"/>
        <w:outlineLvl w:val="2"/>
      </w:pPr>
      <w:bookmarkStart w:name="heading_22" w:id="22"/>
      <w:r>
        <w:rPr>
          <w:rFonts w:eastAsia="等线" w:ascii="Arial" w:cs="Arial" w:hAnsi="Arial"/>
          <w:b w:val="true"/>
          <w:sz w:val="30"/>
        </w:rPr>
        <w:t>第一节 招生管理</w:t>
      </w:r>
      <w:bookmarkEnd w:id="22"/>
    </w:p>
    <w:p>
      <w:pPr>
        <w:spacing w:before="120" w:after="120" w:line="288" w:lineRule="auto"/>
        <w:ind w:left="0"/>
        <w:jc w:val="left"/>
      </w:pPr>
      <w:r>
        <w:rPr>
          <w:rFonts w:eastAsia="等线" w:ascii="Arial" w:cs="Arial" w:hAnsi="Arial"/>
          <w:sz w:val="22"/>
        </w:rPr>
        <w:t>作为学校生源拓展与统筹的核心模块，聚焦 “线索储备 - 意向转化 - 全量管控” 全流程，以数据化、精准化支撑招生目标达成，助力学校生源质量与规模双提升。</w:t>
      </w:r>
    </w:p>
    <w:p>
      <w:pPr>
        <w:spacing w:before="120" w:after="120" w:line="288" w:lineRule="auto"/>
        <w:ind w:left="0"/>
        <w:jc w:val="center"/>
      </w:pPr>
      <w:r>
        <w:drawing>
          <wp:inline distT="0" distR="0" distB="0" distL="0">
            <wp:extent cx="5257800" cy="2543175"/>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26"/>
                    <a:stretch>
                      <a:fillRect/>
                    </a:stretch>
                  </pic:blipFill>
                  <pic:spPr>
                    <a:xfrm>
                      <a:off x="0" y="0"/>
                      <a:ext cx="5257800" cy="254317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平台首页可查看“招生管理”</w:t>
        <w:br/>
      </w:r>
    </w:p>
    <w:p>
      <w:pPr>
        <w:spacing w:before="120" w:after="120" w:line="288" w:lineRule="auto"/>
        <w:ind w:left="0"/>
        <w:jc w:val="left"/>
      </w:pPr>
    </w:p>
    <w:p>
      <w:pPr>
        <w:pBdr>
          <w:bottom w:val="single" w:color="dee0e3"/>
          <w:between w:val="single" w:color="dee0e3"/>
        </w:pBdr>
        <w:spacing w:before="120" w:after="120" w:line="288" w:lineRule="auto"/>
        <w:ind w:left="0"/>
      </w:pPr>
    </w:p>
    <w:p>
      <w:pPr>
        <w:spacing w:before="120" w:after="120" w:line="288" w:lineRule="auto"/>
        <w:ind w:left="0"/>
        <w:jc w:val="center"/>
      </w:pPr>
      <w:r>
        <w:rPr>
          <w:rFonts w:eastAsia="等线" w:ascii="Arial" w:cs="Arial" w:hAnsi="Arial"/>
          <w:b w:val="true"/>
          <w:sz w:val="22"/>
        </w:rPr>
        <w:t>所有学员：全局统筹与数据支撑</w:t>
      </w:r>
    </w:p>
    <w:p>
      <w:pPr>
        <w:spacing w:before="120" w:after="120" w:line="288" w:lineRule="auto"/>
        <w:ind w:left="0"/>
        <w:jc w:val="center"/>
      </w:pPr>
      <w:r>
        <w:drawing>
          <wp:inline distT="0" distR="0" distB="0" distL="0">
            <wp:extent cx="5257800" cy="2924175"/>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27"/>
                    <a:stretch>
                      <a:fillRect/>
                    </a:stretch>
                  </pic:blipFill>
                  <pic:spPr>
                    <a:xfrm>
                      <a:off x="0" y="0"/>
                      <a:ext cx="5257800" cy="292417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“所有学员”可查看每位学生的基本信息</w:t>
        <w:br/>
      </w:r>
    </w:p>
    <w:p>
      <w:pPr>
        <w:numPr>
          <w:numId w:val="56"/>
        </w:numPr>
        <w:spacing w:before="120" w:after="120" w:line="288" w:lineRule="auto"/>
        <w:ind w:left="0"/>
        <w:jc w:val="left"/>
      </w:pPr>
      <w:r>
        <w:rPr>
          <w:rFonts w:eastAsia="等线" w:ascii="Arial" w:cs="Arial" w:hAnsi="Arial"/>
          <w:sz w:val="22"/>
        </w:rPr>
        <w:t>整合全状态学生（潜在、意向、已报名等）数据，按年级、班级、招生渠道等多维度分类统计。</w:t>
      </w:r>
    </w:p>
    <w:p>
      <w:pPr>
        <w:numPr>
          <w:numId w:val="57"/>
        </w:numPr>
        <w:spacing w:before="120" w:after="120" w:line="288" w:lineRule="auto"/>
        <w:ind w:left="0"/>
        <w:jc w:val="left"/>
      </w:pPr>
      <w:r>
        <w:rPr>
          <w:rFonts w:eastAsia="等线" w:ascii="Arial" w:cs="Arial" w:hAnsi="Arial"/>
          <w:sz w:val="22"/>
        </w:rPr>
        <w:t>打通招生与学籍、财务系统数据，实时同步学生报名、缴费、退费状态，实现 “招生 - 学籍 - 财务” 一体化管控。</w:t>
      </w:r>
    </w:p>
    <w:p>
      <w:pPr>
        <w:numPr>
          <w:numId w:val="58"/>
        </w:numPr>
        <w:spacing w:before="120" w:after="120" w:line="288" w:lineRule="auto"/>
        <w:ind w:left="0"/>
        <w:jc w:val="left"/>
      </w:pPr>
      <w:r>
        <w:rPr>
          <w:rFonts w:eastAsia="等线" w:ascii="Arial" w:cs="Arial" w:hAnsi="Arial"/>
          <w:sz w:val="22"/>
        </w:rPr>
        <w:t>生成核心招生报表（学生总数、转化率、流失率、渠道效能等），制定招生战略、调整资源配置提供数据依据。</w:t>
      </w:r>
    </w:p>
    <w:p>
      <w:pPr>
        <w:pBdr>
          <w:bottom w:val="single" w:color="dee0e3"/>
          <w:between w:val="single" w:color="dee0e3"/>
        </w:pBdr>
        <w:spacing w:before="120" w:after="120" w:line="288" w:lineRule="auto"/>
        <w:ind w:left="0"/>
      </w:pPr>
    </w:p>
    <w:p>
      <w:pPr>
        <w:spacing w:before="120" w:after="120" w:line="288" w:lineRule="auto"/>
        <w:ind w:left="0"/>
        <w:jc w:val="center"/>
      </w:pPr>
      <w:r>
        <w:rPr>
          <w:rFonts w:eastAsia="等线" w:ascii="Arial" w:cs="Arial" w:hAnsi="Arial"/>
          <w:b w:val="true"/>
          <w:sz w:val="22"/>
        </w:rPr>
        <w:t>潜在学员：线索储备与生源拓展</w:t>
      </w:r>
    </w:p>
    <w:p>
      <w:pPr>
        <w:spacing w:before="120" w:after="120" w:line="288" w:lineRule="auto"/>
        <w:ind w:left="0"/>
        <w:jc w:val="center"/>
      </w:pPr>
      <w:r>
        <w:drawing>
          <wp:inline distT="0" distR="0" distB="0" distL="0">
            <wp:extent cx="5257800" cy="2543175"/>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28"/>
                    <a:stretch>
                      <a:fillRect/>
                    </a:stretch>
                  </pic:blipFill>
                  <pic:spPr>
                    <a:xfrm>
                      <a:off x="0" y="0"/>
                      <a:ext cx="5257800" cy="254317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“潜在学员”为学校的信息公海</w:t>
        <w:br/>
      </w:r>
    </w:p>
    <w:p>
      <w:pPr>
        <w:numPr>
          <w:numId w:val="59"/>
        </w:numPr>
        <w:spacing w:before="120" w:after="120" w:line="288" w:lineRule="auto"/>
        <w:ind w:left="0"/>
        <w:jc w:val="left"/>
      </w:pPr>
      <w:r>
        <w:rPr>
          <w:rFonts w:eastAsia="等线" w:ascii="Arial" w:cs="Arial" w:hAnsi="Arial"/>
          <w:sz w:val="22"/>
        </w:rPr>
        <w:t>收录多渠道线索（宣讲会、转介绍、主动咨询、地推等），明确线索来源，为评估渠道效果提供基础。</w:t>
      </w:r>
    </w:p>
    <w:p>
      <w:pPr>
        <w:numPr>
          <w:numId w:val="60"/>
        </w:numPr>
        <w:spacing w:before="120" w:after="120" w:line="288" w:lineRule="auto"/>
        <w:ind w:left="0"/>
        <w:jc w:val="left"/>
      </w:pPr>
      <w:r>
        <w:rPr>
          <w:rFonts w:eastAsia="等线" w:ascii="Arial" w:cs="Arial" w:hAnsi="Arial"/>
          <w:sz w:val="22"/>
        </w:rPr>
        <w:t>支持线索分级培育，通过发送学校介绍、课程简章、活动邀请等激活潜在意向，充实生源储备池。</w:t>
      </w:r>
    </w:p>
    <w:p>
      <w:pPr>
        <w:numPr>
          <w:numId w:val="61"/>
        </w:numPr>
        <w:spacing w:before="120" w:after="120" w:line="288" w:lineRule="auto"/>
        <w:ind w:left="0"/>
        <w:jc w:val="left"/>
      </w:pPr>
      <w:r>
        <w:rPr>
          <w:rFonts w:eastAsia="等线" w:ascii="Arial" w:cs="Arial" w:hAnsi="Arial"/>
          <w:sz w:val="22"/>
        </w:rPr>
        <w:t>建立线索转意向的标准化流程，确保优质潜在学生及时进入精准跟进环节，扩大有效生源基数。</w:t>
      </w:r>
    </w:p>
    <w:p>
      <w:pPr>
        <w:numPr>
          <w:numId w:val="62"/>
        </w:numPr>
        <w:spacing w:before="120" w:after="120" w:line="288" w:lineRule="auto"/>
        <w:ind w:left="0"/>
        <w:jc w:val="left"/>
      </w:pPr>
      <w:r>
        <w:rPr>
          <w:rFonts w:eastAsia="等线" w:ascii="Arial" w:cs="Arial" w:hAnsi="Arial"/>
          <w:sz w:val="22"/>
        </w:rPr>
        <w:t>潜在学生数据支持按需筛选并导出，为精准营销、招生转化策略优化及用户画像分析等场景提供结构化数据支撑，助力数据驱动决策。</w:t>
      </w:r>
    </w:p>
    <w:p>
      <w:pPr>
        <w:pBdr>
          <w:bottom w:val="single" w:color="dee0e3"/>
          <w:between w:val="single" w:color="dee0e3"/>
        </w:pBdr>
        <w:spacing w:before="120" w:after="120" w:line="288" w:lineRule="auto"/>
        <w:ind w:left="0"/>
      </w:pPr>
    </w:p>
    <w:p>
      <w:pPr>
        <w:pStyle w:val="3"/>
        <w:spacing w:before="300" w:after="120" w:line="288" w:lineRule="auto"/>
        <w:ind w:left="0"/>
        <w:jc w:val="left"/>
        <w:outlineLvl w:val="2"/>
      </w:pPr>
      <w:bookmarkStart w:name="heading_23" w:id="23"/>
      <w:r>
        <w:rPr>
          <w:rFonts w:eastAsia="等线" w:ascii="Arial" w:cs="Arial" w:hAnsi="Arial"/>
          <w:b w:val="true"/>
          <w:sz w:val="30"/>
        </w:rPr>
        <w:t>第二节 财务中心</w:t>
      </w:r>
      <w:bookmarkEnd w:id="23"/>
    </w:p>
    <w:p>
      <w:pPr>
        <w:spacing w:before="120" w:after="120" w:line="288" w:lineRule="auto"/>
        <w:ind w:left="0"/>
        <w:jc w:val="left"/>
      </w:pPr>
      <w:r>
        <w:rPr>
          <w:rFonts w:eastAsia="等线" w:ascii="Arial" w:cs="Arial" w:hAnsi="Arial"/>
          <w:sz w:val="22"/>
        </w:rPr>
        <w:t>聚焦学校学费等核心收费场景，围绕报名订单、待续费、退费审批、财务退款实现全流程闭环，兼顾教育收费合规性与学生服务便捷性。</w:t>
      </w:r>
    </w:p>
    <w:p>
      <w:pPr>
        <w:spacing w:before="120" w:after="120" w:line="288" w:lineRule="auto"/>
        <w:ind w:left="0"/>
        <w:jc w:val="center"/>
      </w:pPr>
      <w:r>
        <w:rPr>
          <w:rFonts w:eastAsia="等线" w:ascii="Arial" w:cs="Arial" w:hAnsi="Arial"/>
          <w:b w:val="true"/>
          <w:sz w:val="22"/>
        </w:rPr>
        <w:t>报名订单</w:t>
      </w:r>
    </w:p>
    <w:p>
      <w:pPr>
        <w:spacing w:before="120" w:after="120" w:line="288" w:lineRule="auto"/>
        <w:ind w:left="0"/>
        <w:jc w:val="center"/>
      </w:pPr>
      <w:r>
        <w:drawing>
          <wp:inline distT="0" distR="0" distB="0" distL="0">
            <wp:extent cx="5257800" cy="2543175"/>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29"/>
                    <a:stretch>
                      <a:fillRect/>
                    </a:stretch>
                  </pic:blipFill>
                  <pic:spPr>
                    <a:xfrm>
                      <a:off x="0" y="0"/>
                      <a:ext cx="5257800" cy="254317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财务中心可查看学生报名订单</w:t>
        <w:br/>
      </w:r>
    </w:p>
    <w:p>
      <w:pPr>
        <w:numPr>
          <w:numId w:val="63"/>
        </w:numPr>
        <w:spacing w:before="120" w:after="120" w:line="288" w:lineRule="auto"/>
        <w:ind w:left="0"/>
        <w:jc w:val="left"/>
      </w:pPr>
      <w:r>
        <w:rPr>
          <w:rFonts w:eastAsia="等线" w:ascii="Arial" w:cs="Arial" w:hAnsi="Arial"/>
          <w:sz w:val="22"/>
        </w:rPr>
        <w:t>可以看到学籍信息、订单类型、购买课时、支付时间、投保状态等。</w:t>
      </w:r>
    </w:p>
    <w:p>
      <w:pPr>
        <w:pBdr>
          <w:bottom w:val="single" w:color="dee0e3"/>
          <w:between w:val="single" w:color="dee0e3"/>
        </w:pBdr>
        <w:spacing w:before="120" w:after="120" w:line="288" w:lineRule="auto"/>
        <w:ind w:left="0"/>
      </w:pPr>
    </w:p>
    <w:p>
      <w:pPr>
        <w:spacing w:before="120" w:after="120" w:line="288" w:lineRule="auto"/>
        <w:ind w:left="0"/>
        <w:jc w:val="center"/>
      </w:pPr>
      <w:r>
        <w:rPr>
          <w:rFonts w:eastAsia="等线" w:ascii="Arial" w:cs="Arial" w:hAnsi="Arial"/>
          <w:b w:val="true"/>
          <w:sz w:val="22"/>
        </w:rPr>
        <w:t>待续费</w:t>
      </w:r>
    </w:p>
    <w:p>
      <w:pPr>
        <w:spacing w:before="120" w:after="120" w:line="288" w:lineRule="auto"/>
        <w:ind w:left="0"/>
        <w:jc w:val="center"/>
      </w:pPr>
      <w:r>
        <w:drawing>
          <wp:inline distT="0" distR="0" distB="0" distL="0">
            <wp:extent cx="5257800" cy="2543175"/>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30"/>
                    <a:stretch>
                      <a:fillRect/>
                    </a:stretch>
                  </pic:blipFill>
                  <pic:spPr>
                    <a:xfrm>
                      <a:off x="0" y="0"/>
                      <a:ext cx="5257800" cy="254317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点击去续费进行学生续费操作</w:t>
        <w:br/>
      </w:r>
    </w:p>
    <w:p>
      <w:pPr>
        <w:numPr>
          <w:numId w:val="64"/>
        </w:numPr>
        <w:spacing w:before="120" w:after="120" w:line="288" w:lineRule="auto"/>
        <w:ind w:left="0"/>
        <w:jc w:val="left"/>
      </w:pPr>
      <w:r>
        <w:rPr>
          <w:rFonts w:eastAsia="等线" w:ascii="Arial" w:cs="Arial" w:hAnsi="Arial"/>
          <w:sz w:val="22"/>
        </w:rPr>
        <w:t>生成未续费学生名单可以清楚看到学管师和咨询师分别是谁，能更清楚的安排咨询师进行续费动作。</w:t>
      </w:r>
    </w:p>
    <w:p>
      <w:pPr>
        <w:numPr>
          <w:numId w:val="65"/>
        </w:numPr>
        <w:spacing w:before="120" w:after="120" w:line="288" w:lineRule="auto"/>
        <w:ind w:left="0"/>
        <w:jc w:val="left"/>
      </w:pPr>
      <w:r>
        <w:rPr>
          <w:rFonts w:eastAsia="等线" w:ascii="Arial" w:cs="Arial" w:hAnsi="Arial"/>
          <w:sz w:val="22"/>
        </w:rPr>
        <w:t>系统在只剩余五课时时自动给家长推送续费短信提醒家长续费。</w:t>
      </w:r>
    </w:p>
    <w:p>
      <w:pPr>
        <w:numPr>
          <w:numId w:val="66"/>
        </w:numPr>
        <w:spacing w:before="120" w:after="120" w:line="288" w:lineRule="auto"/>
        <w:ind w:left="0"/>
        <w:jc w:val="left"/>
      </w:pPr>
      <w:r>
        <w:rPr>
          <w:rFonts w:eastAsia="等线" w:ascii="Arial" w:cs="Arial" w:hAnsi="Arial"/>
          <w:sz w:val="22"/>
        </w:rPr>
        <w:t>点击去续费即可进行快速操作。</w:t>
      </w:r>
    </w:p>
    <w:p>
      <w:pPr>
        <w:pBdr>
          <w:bottom w:val="single" w:color="dee0e3"/>
          <w:between w:val="single" w:color="dee0e3"/>
        </w:pBdr>
        <w:spacing w:before="120" w:after="120" w:line="288" w:lineRule="auto"/>
        <w:ind w:left="0"/>
      </w:pPr>
    </w:p>
    <w:p>
      <w:pPr>
        <w:pStyle w:val="3"/>
        <w:spacing w:before="300" w:after="120" w:line="288" w:lineRule="auto"/>
        <w:ind w:left="0"/>
        <w:jc w:val="left"/>
        <w:outlineLvl w:val="2"/>
      </w:pPr>
      <w:bookmarkStart w:name="heading_24" w:id="24"/>
      <w:r>
        <w:rPr>
          <w:rFonts w:eastAsia="等线" w:ascii="Arial" w:cs="Arial" w:hAnsi="Arial"/>
          <w:b w:val="true"/>
          <w:sz w:val="30"/>
        </w:rPr>
        <w:t>第三节 通知管理</w:t>
      </w:r>
      <w:bookmarkEnd w:id="24"/>
    </w:p>
    <w:p>
      <w:pPr>
        <w:spacing w:before="120" w:after="120" w:line="288" w:lineRule="auto"/>
        <w:ind w:left="0"/>
        <w:jc w:val="left"/>
      </w:pPr>
      <w:r>
        <w:rPr>
          <w:rFonts w:eastAsia="等线" w:ascii="Arial" w:cs="Arial" w:hAnsi="Arial"/>
          <w:sz w:val="22"/>
        </w:rPr>
        <w:t>作为学校内外部信息传递的核心枢纽，聚焦 “精准触达、高效反馈、全程可溯”，兼顾家校沟通温度与校内管理效率，为校长统筹管理提供信息传达保障。</w:t>
      </w:r>
    </w:p>
    <w:p>
      <w:pPr>
        <w:spacing w:before="120" w:after="120" w:line="288" w:lineRule="auto"/>
        <w:ind w:left="0"/>
        <w:jc w:val="center"/>
      </w:pPr>
      <w:r>
        <w:rPr>
          <w:rFonts w:eastAsia="等线" w:ascii="Arial" w:cs="Arial" w:hAnsi="Arial"/>
          <w:b w:val="true"/>
          <w:sz w:val="22"/>
        </w:rPr>
        <w:t>学校公告</w:t>
      </w:r>
    </w:p>
    <w:tbl>
      <w:tblPr>
        <w:tblW w:w="0" w:type="auto"/>
        <w:tblInd w:w="0" w:type="dxa"/>
        <w:tblBorders>
          <w:top w:val="none" w:space="4"/>
          <w:left w:val="none" w:space="4"/>
          <w:bottom w:val="none" w:space="4"/>
          <w:right w:val="none" w:space="4"/>
          <w:insideH w:val="none" w:space="4"/>
          <w:insideV w:val="none" w:space="4"/>
        </w:tblBorders>
        <w:tblLayout w:type="fixed"/>
      </w:tblPr>
      <w:tblGrid>
        <w:gridCol w:w="4576"/>
        <w:gridCol w:w="3703"/>
      </w:tblGrid>
      <w:tr>
        <w:tc>
          <w:tcPr>
            <w:tcW w:w="4576" w:type="dxa"/>
            <w:tcMar>
              <w:top w:type="dxa" w:w="60"/>
              <w:left w:type="dxa" w:w="120"/>
              <w:bottom w:type="dxa" w:w="30"/>
              <w:right w:type="dxa" w:w="120"/>
            </w:tcMar>
          </w:tcPr>
          <w:p>
            <w:pPr>
              <w:spacing w:before="120" w:after="120" w:line="288" w:lineRule="auto"/>
              <w:ind w:left="0"/>
              <w:jc w:val="center"/>
            </w:pPr>
            <w:r>
              <w:drawing>
                <wp:inline distT="0" distR="0" distB="0" distL="0">
                  <wp:extent cx="2752725" cy="1333500"/>
                  <wp:docPr id="25" name="Drawing 25" descr=""/>
                  <a:graphic xmlns:a="http://schemas.openxmlformats.org/drawingml/2006/main">
                    <a:graphicData uri="http://schemas.openxmlformats.org/drawingml/2006/picture">
                      <pic:pic xmlns:pic="http://schemas.openxmlformats.org/drawingml/2006/picture">
                        <pic:nvPicPr>
                          <pic:cNvPr id="0" name="Picture 25" descr=""/>
                          <pic:cNvPicPr>
                            <a:picLocks noChangeAspect="true"/>
                          </pic:cNvPicPr>
                        </pic:nvPicPr>
                        <pic:blipFill>
                          <a:blip r:embed="rId31"/>
                          <a:stretch>
                            <a:fillRect/>
                          </a:stretch>
                        </pic:blipFill>
                        <pic:spPr>
                          <a:xfrm>
                            <a:off x="0" y="0"/>
                            <a:ext cx="2752725" cy="1333500"/>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通知公告分为家长公告和学校公告两部分</w:t>
              <w:br/>
            </w:r>
          </w:p>
        </w:tc>
        <w:tc>
          <w:tcPr>
            <w:tcW w:w="3703" w:type="dxa"/>
            <w:tcMar>
              <w:top w:type="dxa" w:w="60"/>
              <w:left w:type="dxa" w:w="120"/>
              <w:bottom w:type="dxa" w:w="30"/>
              <w:right w:type="dxa" w:w="120"/>
            </w:tcMar>
          </w:tcPr>
          <w:p>
            <w:pPr>
              <w:spacing w:before="120" w:after="120" w:line="288" w:lineRule="auto"/>
              <w:ind w:left="0"/>
              <w:jc w:val="center"/>
            </w:pPr>
            <w:r>
              <w:drawing>
                <wp:inline distT="0" distR="0" distB="0" distL="0">
                  <wp:extent cx="2190750" cy="1314450"/>
                  <wp:docPr id="26" name="Drawing 26" descr=""/>
                  <a:graphic xmlns:a="http://schemas.openxmlformats.org/drawingml/2006/main">
                    <a:graphicData uri="http://schemas.openxmlformats.org/drawingml/2006/picture">
                      <pic:pic xmlns:pic="http://schemas.openxmlformats.org/drawingml/2006/picture">
                        <pic:nvPicPr>
                          <pic:cNvPr id="0" name="Picture 26" descr=""/>
                          <pic:cNvPicPr>
                            <a:picLocks noChangeAspect="true"/>
                          </pic:cNvPicPr>
                        </pic:nvPicPr>
                        <pic:blipFill>
                          <a:blip r:embed="rId32"/>
                          <a:stretch>
                            <a:fillRect/>
                          </a:stretch>
                        </pic:blipFill>
                        <pic:spPr>
                          <a:xfrm>
                            <a:off x="0" y="0"/>
                            <a:ext cx="2190750" cy="1314450"/>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可进行添加或公告的修改、删除</w:t>
              <w:br/>
            </w:r>
          </w:p>
        </w:tc>
      </w:tr>
    </w:tbl>
    <w:p>
      <w:pPr>
        <w:numPr>
          <w:numId w:val="67"/>
        </w:numPr>
        <w:spacing w:before="120" w:after="120" w:line="288" w:lineRule="auto"/>
        <w:ind w:left="0"/>
        <w:jc w:val="left"/>
      </w:pPr>
      <w:r>
        <w:rPr>
          <w:rFonts w:eastAsia="等线" w:ascii="Arial" w:cs="Arial" w:hAnsi="Arial"/>
          <w:sz w:val="22"/>
        </w:rPr>
        <w:t>面向教职工、部门的学管师端、咨询师端精准下发工作部署、政策解读、紧急通知等内容。</w:t>
      </w:r>
    </w:p>
    <w:p>
      <w:pPr>
        <w:numPr>
          <w:numId w:val="68"/>
        </w:numPr>
        <w:spacing w:before="120" w:after="120" w:line="288" w:lineRule="auto"/>
        <w:ind w:left="0"/>
        <w:jc w:val="left"/>
      </w:pPr>
      <w:r>
        <w:rPr>
          <w:rFonts w:eastAsia="等线" w:ascii="Arial" w:cs="Arial" w:hAnsi="Arial"/>
          <w:sz w:val="22"/>
        </w:rPr>
        <w:t>留存通知历史档案，支持标题、类型检索，便于后续工作追溯与复盘。</w:t>
      </w:r>
    </w:p>
    <w:p>
      <w:pPr>
        <w:numPr>
          <w:numId w:val="69"/>
        </w:numPr>
        <w:spacing w:before="120" w:after="120" w:line="288" w:lineRule="auto"/>
        <w:ind w:left="0"/>
        <w:jc w:val="left"/>
      </w:pPr>
      <w:r>
        <w:rPr>
          <w:rFonts w:eastAsia="等线" w:ascii="Arial" w:cs="Arial" w:hAnsi="Arial"/>
          <w:sz w:val="22"/>
        </w:rPr>
        <w:t>可同步推送至校内办公渠道，搭配附件上传图片功能，提升校内协作效率。</w:t>
      </w:r>
    </w:p>
    <w:p>
      <w:pPr>
        <w:pStyle w:val="1"/>
        <w:spacing w:before="380" w:after="140" w:line="288" w:lineRule="auto"/>
        <w:ind w:left="0"/>
        <w:jc w:val="left"/>
        <w:outlineLvl w:val="0"/>
      </w:pPr>
      <w:bookmarkStart w:name="heading_25" w:id="25"/>
      <w:r>
        <w:rPr>
          <w:rFonts w:eastAsia="等线" w:ascii="Arial" w:cs="Arial" w:hAnsi="Arial"/>
          <w:b w:val="true"/>
          <w:sz w:val="36"/>
        </w:rPr>
        <w:t>六、平台核心功能模块详解</w:t>
      </w:r>
      <w:bookmarkEnd w:id="25"/>
    </w:p>
    <w:p>
      <w:pPr>
        <w:pStyle w:val="3"/>
        <w:spacing w:before="300" w:after="120" w:line="288" w:lineRule="auto"/>
        <w:ind w:left="0"/>
        <w:jc w:val="left"/>
        <w:outlineLvl w:val="2"/>
      </w:pPr>
      <w:bookmarkStart w:name="heading_26" w:id="26"/>
      <w:r>
        <w:rPr>
          <w:rFonts w:eastAsia="等线" w:ascii="Arial" w:cs="Arial" w:hAnsi="Arial"/>
          <w:b w:val="true"/>
          <w:sz w:val="30"/>
        </w:rPr>
        <w:t>第一节 首页</w:t>
      </w:r>
      <w:bookmarkEnd w:id="26"/>
    </w:p>
    <w:p>
      <w:pPr>
        <w:numPr>
          <w:numId w:val="70"/>
        </w:numPr>
        <w:spacing w:before="120" w:after="120" w:line="288" w:lineRule="auto"/>
        <w:ind w:left="0"/>
        <w:jc w:val="left"/>
      </w:pPr>
      <w:r>
        <w:rPr>
          <w:rFonts w:eastAsia="等线" w:ascii="Arial" w:cs="Arial" w:hAnsi="Arial"/>
          <w:b w:val="true"/>
          <w:sz w:val="22"/>
        </w:rPr>
        <w:t>功能定位</w:t>
      </w:r>
      <w:r>
        <w:rPr>
          <w:rFonts w:eastAsia="等线" w:ascii="Arial" w:cs="Arial" w:hAnsi="Arial"/>
          <w:sz w:val="22"/>
        </w:rPr>
        <w:t>：平台核心信息与功能的聚合入口，集成数据概览看板、待办事项提醒、高频功能快捷入口；能够帮助用户快速掌握平台整体运营状态，实现高频功能一键直达，提升日常操作效率。</w:t>
      </w:r>
    </w:p>
    <w:p>
      <w:pPr>
        <w:numPr>
          <w:numId w:val="71"/>
        </w:numPr>
        <w:spacing w:before="120" w:after="120" w:line="288" w:lineRule="auto"/>
        <w:ind w:left="0"/>
        <w:jc w:val="left"/>
      </w:pPr>
      <w:r>
        <w:rPr>
          <w:rFonts w:eastAsia="等线" w:ascii="Arial" w:cs="Arial" w:hAnsi="Arial"/>
          <w:b w:val="true"/>
          <w:sz w:val="22"/>
        </w:rPr>
        <w:t>注意事项</w:t>
      </w:r>
      <w:r>
        <w:rPr>
          <w:rFonts w:eastAsia="等线" w:ascii="Arial" w:cs="Arial" w:hAnsi="Arial"/>
          <w:sz w:val="22"/>
        </w:rPr>
        <w:t>：定期查看待办提醒并及时处理。</w:t>
      </w:r>
    </w:p>
    <w:p>
      <w:pPr>
        <w:spacing w:before="120" w:after="120" w:line="288" w:lineRule="auto"/>
        <w:ind w:left="0"/>
        <w:jc w:val="center"/>
      </w:pPr>
      <w:r>
        <w:drawing>
          <wp:inline distT="0" distR="0" distB="0" distL="0">
            <wp:extent cx="5257800" cy="2543175"/>
            <wp:docPr id="27" name="Drawing 27" descr=""/>
            <a:graphic xmlns:a="http://schemas.openxmlformats.org/drawingml/2006/main">
              <a:graphicData uri="http://schemas.openxmlformats.org/drawingml/2006/picture">
                <pic:pic xmlns:pic="http://schemas.openxmlformats.org/drawingml/2006/picture">
                  <pic:nvPicPr>
                    <pic:cNvPr id="0" name="Picture 27" descr=""/>
                    <pic:cNvPicPr>
                      <a:picLocks noChangeAspect="true"/>
                    </pic:cNvPicPr>
                  </pic:nvPicPr>
                  <pic:blipFill>
                    <a:blip r:embed="rId33"/>
                    <a:stretch>
                      <a:fillRect/>
                    </a:stretch>
                  </pic:blipFill>
                  <pic:spPr>
                    <a:xfrm>
                      <a:off x="0" y="0"/>
                      <a:ext cx="5257800" cy="254317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首页待办模块是聚合各类待办任务的核心入口，通过实时提醒快速知晓待处理事项并便捷操作</w:t>
        <w:br/>
      </w:r>
    </w:p>
    <w:p>
      <w:pPr>
        <w:spacing w:before="120" w:after="120" w:line="288" w:lineRule="auto"/>
        <w:ind w:left="0"/>
        <w:jc w:val="center"/>
      </w:pPr>
      <w:r>
        <w:drawing>
          <wp:inline distT="0" distR="0" distB="0" distL="0">
            <wp:extent cx="5257800" cy="2543175"/>
            <wp:docPr id="28" name="Drawing 28" descr=""/>
            <a:graphic xmlns:a="http://schemas.openxmlformats.org/drawingml/2006/main">
              <a:graphicData uri="http://schemas.openxmlformats.org/drawingml/2006/picture">
                <pic:pic xmlns:pic="http://schemas.openxmlformats.org/drawingml/2006/picture">
                  <pic:nvPicPr>
                    <pic:cNvPr id="0" name="Picture 28" descr=""/>
                    <pic:cNvPicPr>
                      <a:picLocks noChangeAspect="true"/>
                    </pic:cNvPicPr>
                  </pic:nvPicPr>
                  <pic:blipFill>
                    <a:blip r:embed="rId34"/>
                    <a:stretch>
                      <a:fillRect/>
                    </a:stretch>
                  </pic:blipFill>
                  <pic:spPr>
                    <a:xfrm>
                      <a:off x="0" y="0"/>
                      <a:ext cx="5257800" cy="254317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首页快捷方式是平台高频使用功能的快速访问入口，支持一键直达核心操作，点击右上角设置，最多可以添加9个</w:t>
        <w:br/>
      </w:r>
    </w:p>
    <w:p>
      <w:pPr>
        <w:spacing w:before="120" w:after="120" w:line="288" w:lineRule="auto"/>
        <w:ind w:left="0"/>
        <w:jc w:val="left"/>
      </w:pPr>
    </w:p>
    <w:p>
      <w:pPr>
        <w:spacing w:before="120" w:after="120" w:line="288" w:lineRule="auto"/>
        <w:ind w:left="0"/>
        <w:jc w:val="center"/>
      </w:pPr>
      <w:r>
        <w:drawing>
          <wp:inline distT="0" distR="0" distB="0" distL="0">
            <wp:extent cx="5257800" cy="2543175"/>
            <wp:docPr id="29" name="Drawing 29" descr=""/>
            <a:graphic xmlns:a="http://schemas.openxmlformats.org/drawingml/2006/main">
              <a:graphicData uri="http://schemas.openxmlformats.org/drawingml/2006/picture">
                <pic:pic xmlns:pic="http://schemas.openxmlformats.org/drawingml/2006/picture">
                  <pic:nvPicPr>
                    <pic:cNvPr id="0" name="Picture 29" descr=""/>
                    <pic:cNvPicPr>
                      <a:picLocks noChangeAspect="true"/>
                    </pic:cNvPicPr>
                  </pic:nvPicPr>
                  <pic:blipFill>
                    <a:blip r:embed="rId35"/>
                    <a:stretch>
                      <a:fillRect/>
                    </a:stretch>
                  </pic:blipFill>
                  <pic:spPr>
                    <a:xfrm>
                      <a:off x="0" y="0"/>
                      <a:ext cx="5257800" cy="254317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首页实时统计看板是直观呈现平台关键数据占比的实时可视化工具，助力快速掌握核心数据为决策提供数据支持，可切换单校区</w:t>
        <w:br/>
      </w:r>
    </w:p>
    <w:p>
      <w:pPr>
        <w:pStyle w:val="3"/>
        <w:spacing w:before="300" w:after="120" w:line="288" w:lineRule="auto"/>
        <w:ind w:left="0"/>
        <w:jc w:val="left"/>
        <w:outlineLvl w:val="2"/>
      </w:pPr>
      <w:bookmarkStart w:name="heading_27" w:id="27"/>
      <w:r>
        <w:rPr>
          <w:rFonts w:eastAsia="等线" w:ascii="Arial" w:cs="Arial" w:hAnsi="Arial"/>
          <w:b w:val="true"/>
          <w:sz w:val="30"/>
        </w:rPr>
        <w:t>第二节 学校管理</w:t>
      </w:r>
      <w:bookmarkEnd w:id="27"/>
    </w:p>
    <w:p>
      <w:pPr>
        <w:numPr>
          <w:numId w:val="72"/>
        </w:numPr>
        <w:spacing w:before="120" w:after="120" w:line="288" w:lineRule="auto"/>
        <w:ind w:left="0"/>
        <w:jc w:val="left"/>
      </w:pPr>
      <w:r>
        <w:rPr>
          <w:rFonts w:eastAsia="等线" w:ascii="Arial" w:cs="Arial" w:hAnsi="Arial"/>
          <w:b w:val="true"/>
          <w:sz w:val="22"/>
        </w:rPr>
        <w:t>功能定位</w:t>
      </w:r>
      <w:r>
        <w:rPr>
          <w:rFonts w:eastAsia="等线" w:ascii="Arial" w:cs="Arial" w:hAnsi="Arial"/>
          <w:sz w:val="22"/>
        </w:rPr>
        <w:t>：聚焦学校全流程基础管理，涵盖部门 / 校区管理、角色权限分配、用户账号管理、退费审批等核心模块，形成从学校准入到组织、权限、数据的一体化管理体系。夯实学校数据底座，为业务模块提供合规数据支撑，提升组织管理效率与合规性。</w:t>
      </w:r>
    </w:p>
    <w:p>
      <w:pPr>
        <w:numPr>
          <w:numId w:val="73"/>
        </w:numPr>
        <w:spacing w:before="120" w:after="120" w:line="288" w:lineRule="auto"/>
        <w:ind w:left="0"/>
        <w:jc w:val="left"/>
      </w:pPr>
      <w:r>
        <w:rPr>
          <w:rFonts w:eastAsia="等线" w:ascii="Arial" w:cs="Arial" w:hAnsi="Arial"/>
          <w:b w:val="true"/>
          <w:sz w:val="22"/>
        </w:rPr>
        <w:t>注意事项</w:t>
      </w:r>
    </w:p>
    <w:p>
      <w:pPr>
        <w:numPr>
          <w:numId w:val="74"/>
        </w:numPr>
        <w:spacing w:before="120" w:after="120" w:line="288" w:lineRule="auto"/>
        <w:ind w:left="453"/>
        <w:jc w:val="left"/>
      </w:pPr>
      <w:r>
        <w:rPr>
          <w:rFonts w:eastAsia="等线" w:ascii="Arial" w:cs="Arial" w:hAnsi="Arial"/>
          <w:sz w:val="22"/>
        </w:rPr>
        <w:t>部门 / 校区操作需确认层级关系，新增 / 调整前梳理业务关联影响。</w:t>
      </w:r>
    </w:p>
    <w:p>
      <w:pPr>
        <w:numPr>
          <w:numId w:val="75"/>
        </w:numPr>
        <w:spacing w:before="120" w:after="120" w:line="288" w:lineRule="auto"/>
        <w:ind w:left="453"/>
        <w:jc w:val="left"/>
      </w:pPr>
      <w:r>
        <w:rPr>
          <w:rFonts w:eastAsia="等线" w:ascii="Arial" w:cs="Arial" w:hAnsi="Arial"/>
          <w:sz w:val="22"/>
        </w:rPr>
        <w:t>角色用户管理需遵循 “权限最小化” 原则，避免过度授权。</w:t>
      </w:r>
    </w:p>
    <w:p>
      <w:pPr>
        <w:numPr>
          <w:numId w:val="76"/>
        </w:numPr>
        <w:spacing w:before="120" w:after="120" w:line="288" w:lineRule="auto"/>
        <w:ind w:left="453"/>
        <w:jc w:val="left"/>
      </w:pPr>
      <w:r>
        <w:rPr>
          <w:rFonts w:eastAsia="等线" w:ascii="Arial" w:cs="Arial" w:hAnsi="Arial"/>
          <w:sz w:val="22"/>
        </w:rPr>
        <w:t>数据更新后需在规定时效内同步，保障平台内信息的一致性与时效性。</w:t>
      </w:r>
    </w:p>
    <w:tbl>
      <w:tblPr>
        <w:tblW w:w="0" w:type="auto"/>
        <w:tblInd w:w="0" w:type="dxa"/>
        <w:tblBorders>
          <w:top w:val="none" w:space="4"/>
          <w:left w:val="none" w:space="4"/>
          <w:bottom w:val="none" w:space="4"/>
          <w:right w:val="none" w:space="4"/>
          <w:insideH w:val="none" w:space="4"/>
          <w:insideV w:val="none" w:space="4"/>
        </w:tblBorders>
        <w:tblLayout w:type="fixed"/>
      </w:tblPr>
      <w:tblGrid>
        <w:gridCol w:w="4140"/>
        <w:gridCol w:w="4140"/>
      </w:tblGrid>
      <w:tr>
        <w:tc>
          <w:tcPr>
            <w:tcW w:w="4140" w:type="dxa"/>
            <w:tcMar>
              <w:top w:type="dxa" w:w="60"/>
              <w:left w:type="dxa" w:w="120"/>
              <w:bottom w:type="dxa" w:w="30"/>
              <w:right w:type="dxa" w:w="120"/>
            </w:tcMar>
          </w:tcPr>
          <w:p>
            <w:pPr>
              <w:spacing w:before="120" w:after="120" w:line="288" w:lineRule="auto"/>
              <w:ind w:left="0"/>
              <w:jc w:val="center"/>
            </w:pPr>
            <w:r>
              <w:drawing>
                <wp:inline distT="0" distR="0" distB="0" distL="0">
                  <wp:extent cx="2476500" cy="1200150"/>
                  <wp:docPr id="30" name="Drawing 30" descr=""/>
                  <a:graphic xmlns:a="http://schemas.openxmlformats.org/drawingml/2006/main">
                    <a:graphicData uri="http://schemas.openxmlformats.org/drawingml/2006/picture">
                      <pic:pic xmlns:pic="http://schemas.openxmlformats.org/drawingml/2006/picture">
                        <pic:nvPicPr>
                          <pic:cNvPr id="0" name="Picture 30" descr=""/>
                          <pic:cNvPicPr>
                            <a:picLocks noChangeAspect="true"/>
                          </pic:cNvPicPr>
                        </pic:nvPicPr>
                        <pic:blipFill>
                          <a:blip r:embed="rId36"/>
                          <a:stretch>
                            <a:fillRect/>
                          </a:stretch>
                        </pic:blipFill>
                        <pic:spPr>
                          <a:xfrm>
                            <a:off x="0" y="0"/>
                            <a:ext cx="2476500" cy="1200150"/>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可进行退费审批</w:t>
              <w:br/>
            </w:r>
          </w:p>
        </w:tc>
        <w:tc>
          <w:tcPr>
            <w:tcW w:w="4140" w:type="dxa"/>
            <w:tcMar>
              <w:top w:type="dxa" w:w="60"/>
              <w:left w:type="dxa" w:w="120"/>
              <w:bottom w:type="dxa" w:w="30"/>
              <w:right w:type="dxa" w:w="120"/>
            </w:tcMar>
          </w:tcPr>
          <w:p>
            <w:pPr>
              <w:spacing w:before="120" w:after="120" w:line="288" w:lineRule="auto"/>
              <w:ind w:left="0"/>
              <w:jc w:val="center"/>
            </w:pPr>
            <w:r>
              <w:drawing>
                <wp:inline distT="0" distR="0" distB="0" distL="0">
                  <wp:extent cx="2476500" cy="1200150"/>
                  <wp:docPr id="31" name="Drawing 31" descr=""/>
                  <a:graphic xmlns:a="http://schemas.openxmlformats.org/drawingml/2006/main">
                    <a:graphicData uri="http://schemas.openxmlformats.org/drawingml/2006/picture">
                      <pic:pic xmlns:pic="http://schemas.openxmlformats.org/drawingml/2006/picture">
                        <pic:nvPicPr>
                          <pic:cNvPr id="0" name="Picture 31" descr=""/>
                          <pic:cNvPicPr>
                            <a:picLocks noChangeAspect="true"/>
                          </pic:cNvPicPr>
                        </pic:nvPicPr>
                        <pic:blipFill>
                          <a:blip r:embed="rId37"/>
                          <a:stretch>
                            <a:fillRect/>
                          </a:stretch>
                        </pic:blipFill>
                        <pic:spPr>
                          <a:xfrm>
                            <a:off x="0" y="0"/>
                            <a:ext cx="2476500" cy="1200150"/>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查看退费原因进行审批</w:t>
              <w:br/>
            </w:r>
          </w:p>
        </w:tc>
      </w:tr>
    </w:tbl>
    <w:p>
      <w:pPr>
        <w:numPr>
          <w:numId w:val="77"/>
        </w:numPr>
        <w:spacing w:before="120" w:after="120" w:line="288" w:lineRule="auto"/>
        <w:ind w:left="0"/>
        <w:jc w:val="left"/>
      </w:pPr>
      <w:r>
        <w:rPr>
          <w:rFonts w:eastAsia="等线" w:ascii="Arial" w:cs="Arial" w:hAnsi="Arial"/>
          <w:b w:val="true"/>
          <w:sz w:val="22"/>
        </w:rPr>
        <w:t>合同退费流程</w:t>
      </w:r>
      <w:r>
        <w:rPr>
          <w:rFonts w:eastAsia="等线" w:ascii="Arial" w:cs="Arial" w:hAnsi="Arial"/>
          <w:sz w:val="22"/>
        </w:rPr>
        <w:t>: 学生(家长)提交线下退费申请及材料→校方核验材料并创建线上退费订单→系统自动结算退费金额→学生(家长)扫码确认退费金额→校方主管线上审核(审核时限 7-10 个工作日)→系统按学生(家长)原缴费路径退还费用；详情请见</w:t>
      </w:r>
      <w:hyperlink r:id="rId38">
        <w:r>
          <w:rPr>
            <w:rFonts w:eastAsia="等线" w:ascii="Arial" w:cs="Arial" w:hAnsi="Arial"/>
            <w:color w:val="3370ff"/>
            <w:sz w:val="22"/>
          </w:rPr>
          <w:t>《简思智学平台合作协议》第十六条</w:t>
        </w:r>
      </w:hyperlink>
      <w:r>
        <w:rPr>
          <w:rFonts w:eastAsia="等线" w:ascii="Arial" w:cs="Arial" w:hAnsi="Arial"/>
          <w:sz w:val="22"/>
        </w:rPr>
        <w:t>。</w:t>
      </w:r>
    </w:p>
    <w:p>
      <w:pPr>
        <w:numPr>
          <w:numId w:val="78"/>
        </w:numPr>
        <w:spacing w:before="120" w:after="120" w:line="288" w:lineRule="auto"/>
        <w:ind w:left="0"/>
        <w:jc w:val="left"/>
      </w:pPr>
      <w:r>
        <w:rPr>
          <w:rFonts w:eastAsia="等线" w:ascii="Arial" w:cs="Arial" w:hAnsi="Arial"/>
          <w:sz w:val="22"/>
        </w:rPr>
        <w:t>退费审批可以看到退费原因、已消课时、未消课时、已消耗金额、退款金额等，在此界面进行审批。</w:t>
      </w:r>
    </w:p>
    <w:p>
      <w:pPr>
        <w:pStyle w:val="3"/>
        <w:spacing w:before="300" w:after="120" w:line="288" w:lineRule="auto"/>
        <w:ind w:left="0"/>
        <w:jc w:val="left"/>
        <w:outlineLvl w:val="2"/>
      </w:pPr>
      <w:bookmarkStart w:name="heading_28" w:id="28"/>
      <w:r>
        <w:rPr>
          <w:rFonts w:eastAsia="等线" w:ascii="Arial" w:cs="Arial" w:hAnsi="Arial"/>
          <w:b w:val="true"/>
          <w:sz w:val="30"/>
        </w:rPr>
        <w:t>第三节 运营中心</w:t>
      </w:r>
      <w:bookmarkEnd w:id="28"/>
    </w:p>
    <w:p>
      <w:pPr>
        <w:numPr>
          <w:numId w:val="79"/>
        </w:numPr>
        <w:spacing w:before="120" w:after="120" w:line="288" w:lineRule="auto"/>
        <w:ind w:left="0"/>
        <w:jc w:val="left"/>
      </w:pPr>
      <w:r>
        <w:rPr>
          <w:rFonts w:eastAsia="等线" w:ascii="Arial" w:cs="Arial" w:hAnsi="Arial"/>
          <w:b w:val="true"/>
          <w:sz w:val="22"/>
        </w:rPr>
        <w:t>功能定位</w:t>
      </w:r>
      <w:r>
        <w:rPr>
          <w:rFonts w:eastAsia="等线" w:ascii="Arial" w:cs="Arial" w:hAnsi="Arial"/>
          <w:sz w:val="22"/>
        </w:rPr>
        <w:t>：聚焦运营</w:t>
      </w:r>
      <w:r>
        <w:rPr>
          <w:rFonts w:eastAsia="等线" w:ascii="Arial" w:cs="Arial" w:hAnsi="Arial"/>
          <w:b w:val="true"/>
          <w:sz w:val="22"/>
        </w:rPr>
        <w:t>全链路数据统计</w:t>
      </w:r>
      <w:r>
        <w:rPr>
          <w:rFonts w:eastAsia="等线" w:ascii="Arial" w:cs="Arial" w:hAnsi="Arial"/>
          <w:sz w:val="22"/>
        </w:rPr>
        <w:t>分析、</w:t>
      </w:r>
      <w:r>
        <w:rPr>
          <w:rFonts w:eastAsia="等线" w:ascii="Arial" w:cs="Arial" w:hAnsi="Arial"/>
          <w:b w:val="true"/>
          <w:sz w:val="22"/>
        </w:rPr>
        <w:t>绩效管控</w:t>
      </w:r>
      <w:r>
        <w:rPr>
          <w:rFonts w:eastAsia="等线" w:ascii="Arial" w:cs="Arial" w:hAnsi="Arial"/>
          <w:sz w:val="22"/>
        </w:rPr>
        <w:t>的综合模块。涵盖运营日报 / 月报（日常运营数据监控）、学费收入 / 退费详情（财务运营分析）、咨询师排名 / 管师排课统计（人员绩效管控）、家长绑定情况 / 点评反馈统计 / 家长反馈统计（家校服务质量分析）、学生到课率 / 预警处理率（教学运营监管）等功能。</w:t>
      </w:r>
    </w:p>
    <w:p>
      <w:pPr>
        <w:numPr>
          <w:numId w:val="80"/>
        </w:numPr>
        <w:spacing w:before="120" w:after="120" w:line="288" w:lineRule="auto"/>
        <w:ind w:left="0"/>
        <w:jc w:val="left"/>
      </w:pPr>
      <w:r>
        <w:rPr>
          <w:rFonts w:eastAsia="等线" w:ascii="Arial" w:cs="Arial" w:hAnsi="Arial"/>
          <w:b w:val="true"/>
          <w:sz w:val="22"/>
        </w:rPr>
        <w:t>意义作用</w:t>
      </w:r>
      <w:r>
        <w:rPr>
          <w:rFonts w:eastAsia="等线" w:ascii="Arial" w:cs="Arial" w:hAnsi="Arial"/>
          <w:sz w:val="22"/>
        </w:rPr>
        <w:t>：通过多维度数据实时掌握运营动态，优化财务健康度、人员绩效及资源调配，提升家校服务粘性与教学质量，降低运营风险；</w:t>
      </w:r>
      <w:r>
        <w:rPr>
          <w:rFonts w:eastAsia="等线" w:ascii="Arial" w:cs="Arial" w:hAnsi="Arial"/>
          <w:b w:val="true"/>
          <w:sz w:val="22"/>
        </w:rPr>
        <w:t>以数据驱动决策</w:t>
      </w:r>
      <w:r>
        <w:rPr>
          <w:rFonts w:eastAsia="等线" w:ascii="Arial" w:cs="Arial" w:hAnsi="Arial"/>
          <w:sz w:val="22"/>
        </w:rPr>
        <w:t>，优化服务体验，提升用户留存与活跃度，实现平台价值最大化。</w:t>
      </w:r>
    </w:p>
    <w:p>
      <w:pPr>
        <w:numPr>
          <w:numId w:val="81"/>
        </w:numPr>
        <w:spacing w:before="120" w:after="120" w:line="288" w:lineRule="auto"/>
        <w:ind w:left="0"/>
        <w:jc w:val="left"/>
      </w:pPr>
      <w:r>
        <w:rPr>
          <w:rFonts w:eastAsia="等线" w:ascii="Arial" w:cs="Arial" w:hAnsi="Arial"/>
          <w:b w:val="true"/>
          <w:sz w:val="22"/>
        </w:rPr>
        <w:t>注意事项</w:t>
      </w:r>
      <w:r>
        <w:rPr>
          <w:rFonts w:eastAsia="等线" w:ascii="Arial" w:cs="Arial" w:hAnsi="Arial"/>
          <w:sz w:val="22"/>
        </w:rPr>
        <w:t>：</w:t>
      </w:r>
    </w:p>
    <w:p>
      <w:pPr>
        <w:numPr>
          <w:numId w:val="82"/>
        </w:numPr>
        <w:spacing w:before="120" w:after="120" w:line="288" w:lineRule="auto"/>
        <w:ind w:left="453"/>
        <w:jc w:val="left"/>
      </w:pPr>
      <w:r>
        <w:rPr>
          <w:rFonts w:eastAsia="等线" w:ascii="Arial" w:cs="Arial" w:hAnsi="Arial"/>
          <w:sz w:val="22"/>
        </w:rPr>
        <w:t>学生到课率等教学类数据需结合实际场景多维解读，避免单一数据导致的判断偏差。</w:t>
      </w:r>
    </w:p>
    <w:p>
      <w:pPr>
        <w:numPr>
          <w:numId w:val="83"/>
        </w:numPr>
        <w:spacing w:before="120" w:after="120" w:line="288" w:lineRule="auto"/>
        <w:ind w:left="453"/>
        <w:jc w:val="left"/>
      </w:pPr>
      <w:r>
        <w:rPr>
          <w:rFonts w:eastAsia="等线" w:ascii="Arial" w:cs="Arial" w:hAnsi="Arial"/>
          <w:sz w:val="22"/>
        </w:rPr>
        <w:t>运营数据建议每周至少开展一次系统性复盘，构建 “数据复盘 - 策略优化 - 落地验证” 的运营闭环。</w:t>
      </w:r>
    </w:p>
    <w:p>
      <w:pPr>
        <w:numPr>
          <w:numId w:val="84"/>
        </w:numPr>
        <w:spacing w:before="120" w:after="120" w:line="288" w:lineRule="auto"/>
        <w:ind w:left="453"/>
        <w:jc w:val="left"/>
      </w:pPr>
      <w:r>
        <w:rPr>
          <w:rFonts w:eastAsia="等线" w:ascii="Arial" w:cs="Arial" w:hAnsi="Arial"/>
          <w:sz w:val="22"/>
        </w:rPr>
        <w:t>学费收入、家长反馈等敏感运营数据仅限经授权人员查看，严禁违规外泄，严格遵循数据安全管理规范。</w:t>
      </w:r>
    </w:p>
    <w:p>
      <w:pPr>
        <w:numPr>
          <w:numId w:val="85"/>
        </w:numPr>
        <w:spacing w:before="120" w:after="120" w:line="288" w:lineRule="auto"/>
        <w:ind w:left="453"/>
        <w:jc w:val="left"/>
      </w:pPr>
      <w:r>
        <w:rPr>
          <w:rFonts w:eastAsia="等线" w:ascii="Arial" w:cs="Arial" w:hAnsi="Arial"/>
          <w:sz w:val="22"/>
        </w:rPr>
        <w:t>各模块数据录入、更新需全流程把控，保障数据真实、准确、完整，为运营决策提供可靠数据支撑。</w:t>
      </w:r>
    </w:p>
    <w:tbl>
      <w:tblPr>
        <w:tblW w:w="0" w:type="auto"/>
        <w:tblInd w:w="0" w:type="dxa"/>
        <w:tblBorders>
          <w:top w:val="none" w:space="4"/>
          <w:left w:val="none" w:space="4"/>
          <w:bottom w:val="none" w:space="4"/>
          <w:right w:val="none" w:space="4"/>
          <w:insideH w:val="none" w:space="4"/>
          <w:insideV w:val="none" w:space="4"/>
        </w:tblBorders>
        <w:tblLayout w:type="fixed"/>
      </w:tblPr>
      <w:tblGrid>
        <w:gridCol w:w="4140"/>
        <w:gridCol w:w="4140"/>
      </w:tblGrid>
      <w:tr>
        <w:tc>
          <w:tcPr>
            <w:tcW w:w="4140" w:type="dxa"/>
            <w:tcMar>
              <w:top w:type="dxa" w:w="60"/>
              <w:left w:type="dxa" w:w="120"/>
              <w:bottom w:type="dxa" w:w="30"/>
              <w:right w:type="dxa" w:w="120"/>
            </w:tcMar>
          </w:tcPr>
          <w:p>
            <w:pPr>
              <w:spacing w:before="120" w:after="120" w:line="288" w:lineRule="auto"/>
              <w:ind w:left="0"/>
              <w:jc w:val="center"/>
            </w:pPr>
            <w:r>
              <w:drawing>
                <wp:inline distT="0" distR="0" distB="0" distL="0">
                  <wp:extent cx="2476500" cy="1190625"/>
                  <wp:docPr id="32" name="Drawing 32" descr=""/>
                  <a:graphic xmlns:a="http://schemas.openxmlformats.org/drawingml/2006/main">
                    <a:graphicData uri="http://schemas.openxmlformats.org/drawingml/2006/picture">
                      <pic:pic xmlns:pic="http://schemas.openxmlformats.org/drawingml/2006/picture">
                        <pic:nvPicPr>
                          <pic:cNvPr id="0" name="Picture 32" descr=""/>
                          <pic:cNvPicPr>
                            <a:picLocks noChangeAspect="true"/>
                          </pic:cNvPicPr>
                        </pic:nvPicPr>
                        <pic:blipFill>
                          <a:blip r:embed="rId39"/>
                          <a:stretch>
                            <a:fillRect/>
                          </a:stretch>
                        </pic:blipFill>
                        <pic:spPr>
                          <a:xfrm>
                            <a:off x="0" y="0"/>
                            <a:ext cx="2476500" cy="119062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可查看运营日/月报</w:t>
              <w:br/>
            </w:r>
          </w:p>
          <w:p>
            <w:pPr>
              <w:spacing w:before="120" w:after="120" w:line="288" w:lineRule="auto"/>
              <w:ind w:left="0"/>
              <w:jc w:val="left"/>
            </w:pPr>
          </w:p>
        </w:tc>
        <w:tc>
          <w:tcPr>
            <w:tcW w:w="4140" w:type="dxa"/>
            <w:tcMar>
              <w:top w:type="dxa" w:w="60"/>
              <w:left w:type="dxa" w:w="120"/>
              <w:bottom w:type="dxa" w:w="30"/>
              <w:right w:type="dxa" w:w="120"/>
            </w:tcMar>
          </w:tcPr>
          <w:p>
            <w:pPr>
              <w:spacing w:before="120" w:after="120" w:line="288" w:lineRule="auto"/>
              <w:ind w:left="0"/>
              <w:jc w:val="center"/>
            </w:pPr>
            <w:r>
              <w:drawing>
                <wp:inline distT="0" distR="0" distB="0" distL="0">
                  <wp:extent cx="2476500" cy="1190625"/>
                  <wp:docPr id="33" name="Drawing 33" descr=""/>
                  <a:graphic xmlns:a="http://schemas.openxmlformats.org/drawingml/2006/main">
                    <a:graphicData uri="http://schemas.openxmlformats.org/drawingml/2006/picture">
                      <pic:pic xmlns:pic="http://schemas.openxmlformats.org/drawingml/2006/picture">
                        <pic:nvPicPr>
                          <pic:cNvPr id="0" name="Picture 33" descr=""/>
                          <pic:cNvPicPr>
                            <a:picLocks noChangeAspect="true"/>
                          </pic:cNvPicPr>
                        </pic:nvPicPr>
                        <pic:blipFill>
                          <a:blip r:embed="rId40"/>
                          <a:stretch>
                            <a:fillRect/>
                          </a:stretch>
                        </pic:blipFill>
                        <pic:spPr>
                          <a:xfrm>
                            <a:off x="0" y="0"/>
                            <a:ext cx="2476500" cy="119062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运营日 / 月报是呈现平台关键运营数据、支持日报与月报结构化查阅的工具，快速掌握不同周期运营态势</w:t>
              <w:br/>
            </w:r>
          </w:p>
          <w:p>
            <w:pPr>
              <w:spacing w:before="120" w:after="120" w:line="288" w:lineRule="auto"/>
              <w:ind w:left="0"/>
              <w:jc w:val="left"/>
            </w:pPr>
          </w:p>
        </w:tc>
      </w:tr>
    </w:tbl>
    <w:p>
      <w:pPr>
        <w:spacing w:before="120" w:after="120" w:line="288" w:lineRule="auto"/>
        <w:ind w:left="0"/>
        <w:jc w:val="center"/>
      </w:pPr>
      <w:r>
        <w:drawing>
          <wp:inline distT="0" distR="0" distB="0" distL="0">
            <wp:extent cx="5257800" cy="2543175"/>
            <wp:docPr id="34" name="Drawing 34" descr=""/>
            <a:graphic xmlns:a="http://schemas.openxmlformats.org/drawingml/2006/main">
              <a:graphicData uri="http://schemas.openxmlformats.org/drawingml/2006/picture">
                <pic:pic xmlns:pic="http://schemas.openxmlformats.org/drawingml/2006/picture">
                  <pic:nvPicPr>
                    <pic:cNvPr id="0" name="Picture 34" descr=""/>
                    <pic:cNvPicPr>
                      <a:picLocks noChangeAspect="true"/>
                    </pic:cNvPicPr>
                  </pic:nvPicPr>
                  <pic:blipFill>
                    <a:blip r:embed="rId41"/>
                    <a:stretch>
                      <a:fillRect/>
                    </a:stretch>
                  </pic:blipFill>
                  <pic:spPr>
                    <a:xfrm>
                      <a:off x="0" y="0"/>
                      <a:ext cx="5257800" cy="254317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学管师排课统计功能模块是集中呈现学管师排课数量的统计工具，助力快速掌握排课态势、优化资源调配与工作效率</w:t>
        <w:br/>
      </w:r>
    </w:p>
    <w:p>
      <w:pPr>
        <w:spacing w:before="120" w:after="120" w:line="288" w:lineRule="auto"/>
        <w:ind w:left="0"/>
        <w:jc w:val="center"/>
      </w:pPr>
      <w:r>
        <w:drawing>
          <wp:inline distT="0" distR="0" distB="0" distL="0">
            <wp:extent cx="5257800" cy="2543175"/>
            <wp:docPr id="35" name="Drawing 35" descr=""/>
            <a:graphic xmlns:a="http://schemas.openxmlformats.org/drawingml/2006/main">
              <a:graphicData uri="http://schemas.openxmlformats.org/drawingml/2006/picture">
                <pic:pic xmlns:pic="http://schemas.openxmlformats.org/drawingml/2006/picture">
                  <pic:nvPicPr>
                    <pic:cNvPr id="0" name="Picture 35" descr=""/>
                    <pic:cNvPicPr>
                      <a:picLocks noChangeAspect="true"/>
                    </pic:cNvPicPr>
                  </pic:nvPicPr>
                  <pic:blipFill>
                    <a:blip r:embed="rId42"/>
                    <a:stretch>
                      <a:fillRect/>
                    </a:stretch>
                  </pic:blipFill>
                  <pic:spPr>
                    <a:xfrm>
                      <a:off x="0" y="0"/>
                      <a:ext cx="5257800" cy="254317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点评反馈统计功能模块呈现家长对学管师的评分，助力快速掌握每位学管师教学评价态势、优化教学服务质量</w:t>
        <w:br/>
      </w:r>
    </w:p>
    <w:p>
      <w:pPr>
        <w:spacing w:before="120" w:after="120" w:line="288" w:lineRule="auto"/>
        <w:ind w:left="0"/>
        <w:jc w:val="center"/>
      </w:pPr>
      <w:r>
        <w:drawing>
          <wp:inline distT="0" distR="0" distB="0" distL="0">
            <wp:extent cx="5257800" cy="2543175"/>
            <wp:docPr id="36" name="Drawing 36" descr=""/>
            <a:graphic xmlns:a="http://schemas.openxmlformats.org/drawingml/2006/main">
              <a:graphicData uri="http://schemas.openxmlformats.org/drawingml/2006/picture">
                <pic:pic xmlns:pic="http://schemas.openxmlformats.org/drawingml/2006/picture">
                  <pic:nvPicPr>
                    <pic:cNvPr id="0" name="Picture 36" descr=""/>
                    <pic:cNvPicPr>
                      <a:picLocks noChangeAspect="true"/>
                    </pic:cNvPicPr>
                  </pic:nvPicPr>
                  <pic:blipFill>
                    <a:blip r:embed="rId43"/>
                    <a:stretch>
                      <a:fillRect/>
                    </a:stretch>
                  </pic:blipFill>
                  <pic:spPr>
                    <a:xfrm>
                      <a:off x="0" y="0"/>
                      <a:ext cx="5257800" cy="254317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学生到课率统计呈现实际到课学生人数占应到课学生人数比例的统计工具，直观反映学生学习积极性与课程吸引力</w:t>
        <w:br/>
      </w:r>
    </w:p>
    <w:tbl>
      <w:tblPr>
        <w:tblW w:w="0" w:type="auto"/>
        <w:tblInd w:w="0" w:type="dxa"/>
        <w:tblBorders>
          <w:top w:val="none" w:space="4"/>
          <w:left w:val="none" w:space="4"/>
          <w:bottom w:val="none" w:space="4"/>
          <w:right w:val="none" w:space="4"/>
          <w:insideH w:val="none" w:space="4"/>
          <w:insideV w:val="none" w:space="4"/>
        </w:tblBorders>
        <w:tblLayout w:type="fixed"/>
      </w:tblPr>
      <w:tblGrid>
        <w:gridCol w:w="4140"/>
        <w:gridCol w:w="4140"/>
      </w:tblGrid>
      <w:tr>
        <w:tc>
          <w:tcPr>
            <w:tcW w:w="4140" w:type="dxa"/>
            <w:tcMar>
              <w:top w:type="dxa" w:w="60"/>
              <w:left w:type="dxa" w:w="120"/>
              <w:bottom w:type="dxa" w:w="30"/>
              <w:right w:type="dxa" w:w="120"/>
            </w:tcMar>
          </w:tcPr>
          <w:p>
            <w:pPr>
              <w:spacing w:before="120" w:after="120" w:line="288" w:lineRule="auto"/>
              <w:ind w:left="0"/>
              <w:jc w:val="center"/>
            </w:pPr>
            <w:r>
              <w:drawing>
                <wp:inline distT="0" distR="0" distB="0" distL="0">
                  <wp:extent cx="2476500" cy="1190625"/>
                  <wp:docPr id="37" name="Drawing 37" descr=""/>
                  <a:graphic xmlns:a="http://schemas.openxmlformats.org/drawingml/2006/main">
                    <a:graphicData uri="http://schemas.openxmlformats.org/drawingml/2006/picture">
                      <pic:pic xmlns:pic="http://schemas.openxmlformats.org/drawingml/2006/picture">
                        <pic:nvPicPr>
                          <pic:cNvPr id="0" name="Picture 37" descr=""/>
                          <pic:cNvPicPr>
                            <a:picLocks noChangeAspect="true"/>
                          </pic:cNvPicPr>
                        </pic:nvPicPr>
                        <pic:blipFill>
                          <a:blip r:embed="rId44"/>
                          <a:stretch>
                            <a:fillRect/>
                          </a:stretch>
                        </pic:blipFill>
                        <pic:spPr>
                          <a:xfrm>
                            <a:off x="0" y="0"/>
                            <a:ext cx="2476500" cy="119062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点击可查看班级内家长行为统计具体数据</w:t>
              <w:br/>
            </w:r>
          </w:p>
        </w:tc>
        <w:tc>
          <w:tcPr>
            <w:tcW w:w="4140" w:type="dxa"/>
            <w:tcMar>
              <w:top w:type="dxa" w:w="60"/>
              <w:left w:type="dxa" w:w="120"/>
              <w:bottom w:type="dxa" w:w="30"/>
              <w:right w:type="dxa" w:w="120"/>
            </w:tcMar>
          </w:tcPr>
          <w:p>
            <w:pPr>
              <w:spacing w:before="120" w:after="120" w:line="288" w:lineRule="auto"/>
              <w:ind w:left="0"/>
              <w:jc w:val="center"/>
            </w:pPr>
            <w:r>
              <w:drawing>
                <wp:inline distT="0" distR="0" distB="0" distL="0">
                  <wp:extent cx="2476500" cy="1190625"/>
                  <wp:docPr id="38" name="Drawing 38" descr=""/>
                  <a:graphic xmlns:a="http://schemas.openxmlformats.org/drawingml/2006/main">
                    <a:graphicData uri="http://schemas.openxmlformats.org/drawingml/2006/picture">
                      <pic:pic xmlns:pic="http://schemas.openxmlformats.org/drawingml/2006/picture">
                        <pic:nvPicPr>
                          <pic:cNvPr id="0" name="Picture 38" descr=""/>
                          <pic:cNvPicPr>
                            <a:picLocks noChangeAspect="true"/>
                          </pic:cNvPicPr>
                        </pic:nvPicPr>
                        <pic:blipFill>
                          <a:blip r:embed="rId45"/>
                          <a:stretch>
                            <a:fillRect/>
                          </a:stretch>
                        </pic:blipFill>
                        <pic:spPr>
                          <a:xfrm>
                            <a:off x="0" y="0"/>
                            <a:ext cx="2476500" cy="119062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家长行为统计呈现家长操作家长端查看学生学习数据动作，如学生学习数据和学管师点评、辅导数据等，搭建家校沟通桥梁</w:t>
              <w:br/>
            </w:r>
          </w:p>
        </w:tc>
      </w:tr>
    </w:tbl>
    <w:p>
      <w:pPr>
        <w:pStyle w:val="3"/>
        <w:spacing w:before="300" w:after="120" w:line="288" w:lineRule="auto"/>
        <w:ind w:left="0"/>
        <w:jc w:val="left"/>
        <w:outlineLvl w:val="2"/>
      </w:pPr>
      <w:bookmarkStart w:name="heading_29" w:id="29"/>
      <w:r>
        <w:rPr>
          <w:rFonts w:eastAsia="等线" w:ascii="Arial" w:cs="Arial" w:hAnsi="Arial"/>
          <w:b w:val="true"/>
          <w:sz w:val="30"/>
        </w:rPr>
        <w:t>第四节 家校服务</w:t>
      </w:r>
      <w:bookmarkEnd w:id="29"/>
    </w:p>
    <w:p>
      <w:pPr>
        <w:numPr>
          <w:numId w:val="86"/>
        </w:numPr>
        <w:spacing w:before="120" w:after="120" w:line="288" w:lineRule="auto"/>
        <w:ind w:left="0"/>
        <w:jc w:val="left"/>
      </w:pPr>
      <w:r>
        <w:rPr>
          <w:rFonts w:eastAsia="等线" w:ascii="Arial" w:cs="Arial" w:hAnsi="Arial"/>
          <w:b w:val="true"/>
          <w:sz w:val="22"/>
        </w:rPr>
        <w:t>功能定位</w:t>
      </w:r>
      <w:r>
        <w:rPr>
          <w:rFonts w:eastAsia="等线" w:ascii="Arial" w:cs="Arial" w:hAnsi="Arial"/>
          <w:sz w:val="22"/>
        </w:rPr>
        <w:t>：连接学校与家庭的核心服务枢纽，构建 “沟通协同 - 学情跟踪 - 反馈管理 - 服务落地” 全链路家校生态体系。涵盖家校通知、家长端功能配置等基础沟通服务，异常考勤、小组互动记录等学情动态跟踪，学管师点评、待点评等学生成长反馈管理及报名学生全流程服务管理。</w:t>
      </w:r>
    </w:p>
    <w:p>
      <w:pPr>
        <w:numPr>
          <w:numId w:val="87"/>
        </w:numPr>
        <w:spacing w:before="120" w:after="120" w:line="288" w:lineRule="auto"/>
        <w:ind w:left="0"/>
        <w:jc w:val="left"/>
      </w:pPr>
      <w:r>
        <w:rPr>
          <w:rFonts w:eastAsia="等线" w:ascii="Arial" w:cs="Arial" w:hAnsi="Arial"/>
          <w:b w:val="true"/>
          <w:sz w:val="22"/>
        </w:rPr>
        <w:t>意义作用</w:t>
      </w:r>
      <w:r>
        <w:rPr>
          <w:rFonts w:eastAsia="等线" w:ascii="Arial" w:cs="Arial" w:hAnsi="Arial"/>
          <w:sz w:val="22"/>
        </w:rPr>
        <w:t>：打破沟通壁垒，实现学情动态干预，完善家校共育反馈闭环，提升家长参与度与满意度，夯实学生全场景成长管理并强化平台教育服务生态粘性。</w:t>
      </w:r>
    </w:p>
    <w:p>
      <w:pPr>
        <w:spacing w:before="120" w:after="120" w:line="288" w:lineRule="auto"/>
        <w:ind w:left="0"/>
        <w:jc w:val="center"/>
      </w:pPr>
      <w:r>
        <w:drawing>
          <wp:inline distT="0" distR="0" distB="0" distL="0">
            <wp:extent cx="5257800" cy="2543175"/>
            <wp:docPr id="39" name="Drawing 39" descr=""/>
            <a:graphic xmlns:a="http://schemas.openxmlformats.org/drawingml/2006/main">
              <a:graphicData uri="http://schemas.openxmlformats.org/drawingml/2006/picture">
                <pic:pic xmlns:pic="http://schemas.openxmlformats.org/drawingml/2006/picture">
                  <pic:nvPicPr>
                    <pic:cNvPr id="0" name="Picture 39" descr=""/>
                    <pic:cNvPicPr>
                      <a:picLocks noChangeAspect="true"/>
                    </pic:cNvPicPr>
                  </pic:nvPicPr>
                  <pic:blipFill>
                    <a:blip r:embed="rId46"/>
                    <a:stretch>
                      <a:fillRect/>
                    </a:stretch>
                  </pic:blipFill>
                  <pic:spPr>
                    <a:xfrm>
                      <a:off x="0" y="0"/>
                      <a:ext cx="5257800" cy="254317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报名学生管理功能模块支持选择学生进行调班操作及切换离校状态的管理工具，助力规范学生异动流程、提升学生管理便捷性</w:t>
        <w:br/>
      </w:r>
    </w:p>
    <w:p>
      <w:pPr>
        <w:spacing w:before="120" w:after="120" w:line="288" w:lineRule="auto"/>
        <w:ind w:left="0"/>
        <w:jc w:val="center"/>
      </w:pPr>
      <w:r>
        <w:drawing>
          <wp:inline distT="0" distR="0" distB="0" distL="0">
            <wp:extent cx="5257800" cy="2543175"/>
            <wp:docPr id="40" name="Drawing 40" descr=""/>
            <a:graphic xmlns:a="http://schemas.openxmlformats.org/drawingml/2006/main">
              <a:graphicData uri="http://schemas.openxmlformats.org/drawingml/2006/picture">
                <pic:pic xmlns:pic="http://schemas.openxmlformats.org/drawingml/2006/picture">
                  <pic:nvPicPr>
                    <pic:cNvPr id="0" name="Picture 40" descr=""/>
                    <pic:cNvPicPr>
                      <a:picLocks noChangeAspect="true"/>
                    </pic:cNvPicPr>
                  </pic:nvPicPr>
                  <pic:blipFill>
                    <a:blip r:embed="rId47"/>
                    <a:stretch>
                      <a:fillRect/>
                    </a:stretch>
                  </pic:blipFill>
                  <pic:spPr>
                    <a:xfrm>
                      <a:off x="0" y="0"/>
                      <a:ext cx="5257800" cy="254317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学管师点评模块可以查看给学生的点评情况，点评数据同步在学生端、家长端、学管师端及学校安全运营平台</w:t>
        <w:br/>
      </w:r>
    </w:p>
    <w:p>
      <w:pPr>
        <w:pStyle w:val="3"/>
        <w:spacing w:before="300" w:after="120" w:line="288" w:lineRule="auto"/>
        <w:ind w:left="0"/>
        <w:jc w:val="left"/>
        <w:outlineLvl w:val="2"/>
      </w:pPr>
      <w:bookmarkStart w:name="heading_30" w:id="30"/>
      <w:r>
        <w:rPr>
          <w:rFonts w:eastAsia="等线" w:ascii="Arial" w:cs="Arial" w:hAnsi="Arial"/>
          <w:b w:val="true"/>
          <w:sz w:val="30"/>
        </w:rPr>
        <w:t>第五节 系统管理</w:t>
      </w:r>
      <w:bookmarkEnd w:id="30"/>
    </w:p>
    <w:p>
      <w:pPr>
        <w:numPr>
          <w:numId w:val="88"/>
        </w:numPr>
        <w:spacing w:before="120" w:after="120" w:line="288" w:lineRule="auto"/>
        <w:ind w:left="0"/>
        <w:jc w:val="left"/>
      </w:pPr>
      <w:r>
        <w:rPr>
          <w:rFonts w:eastAsia="等线" w:ascii="Arial" w:cs="Arial" w:hAnsi="Arial"/>
          <w:b w:val="true"/>
          <w:sz w:val="22"/>
        </w:rPr>
        <w:t>功能定位</w:t>
      </w:r>
      <w:r>
        <w:rPr>
          <w:rFonts w:eastAsia="等线" w:ascii="Arial" w:cs="Arial" w:hAnsi="Arial"/>
          <w:sz w:val="22"/>
        </w:rPr>
        <w:t>：专注日志管理功能，支持操作日志、登录日志的完整记录与精准查看，可追溯用户操作及登录行为轨迹。为平台安全排查、合规审计提供直接依据，助力防范操作风险。</w:t>
      </w:r>
    </w:p>
    <w:p>
      <w:pPr>
        <w:numPr>
          <w:numId w:val="89"/>
        </w:numPr>
        <w:spacing w:before="120" w:after="120" w:line="288" w:lineRule="auto"/>
        <w:ind w:left="0"/>
        <w:jc w:val="left"/>
      </w:pPr>
      <w:r>
        <w:rPr>
          <w:rFonts w:eastAsia="等线" w:ascii="Arial" w:cs="Arial" w:hAnsi="Arial"/>
          <w:b w:val="true"/>
          <w:sz w:val="22"/>
        </w:rPr>
        <w:t>注意事项</w:t>
      </w:r>
      <w:r>
        <w:rPr>
          <w:rFonts w:eastAsia="等线" w:ascii="Arial" w:cs="Arial" w:hAnsi="Arial"/>
          <w:sz w:val="22"/>
        </w:rPr>
        <w:t>：</w:t>
      </w:r>
    </w:p>
    <w:p>
      <w:pPr>
        <w:numPr>
          <w:numId w:val="90"/>
        </w:numPr>
        <w:spacing w:before="120" w:after="120" w:line="288" w:lineRule="auto"/>
        <w:ind w:left="453"/>
        <w:jc w:val="left"/>
      </w:pPr>
      <w:r>
        <w:rPr>
          <w:rFonts w:eastAsia="等线" w:ascii="Arial" w:cs="Arial" w:hAnsi="Arial"/>
          <w:sz w:val="22"/>
        </w:rPr>
        <w:t>日志查询需基于授权范围，避免越权查看；查询操作不影响系统正常运行，无需频繁刷新。</w:t>
      </w:r>
    </w:p>
    <w:p>
      <w:pPr>
        <w:numPr>
          <w:numId w:val="91"/>
        </w:numPr>
        <w:spacing w:before="120" w:after="120" w:line="288" w:lineRule="auto"/>
        <w:ind w:left="453"/>
        <w:jc w:val="left"/>
      </w:pPr>
      <w:r>
        <w:rPr>
          <w:rFonts w:eastAsia="等线" w:ascii="Arial" w:cs="Arial" w:hAnsi="Arial"/>
          <w:sz w:val="22"/>
        </w:rPr>
        <w:t>日志记录需确保完整、准确、不可篡改；仅限授权人员查看日志，发现异常记录需及时溯源处置。</w:t>
      </w:r>
    </w:p>
    <w:p>
      <w:pPr>
        <w:spacing w:before="120" w:after="120" w:line="288" w:lineRule="auto"/>
        <w:ind w:left="0"/>
        <w:jc w:val="center"/>
      </w:pPr>
      <w:r>
        <w:drawing>
          <wp:inline distT="0" distR="0" distB="0" distL="0">
            <wp:extent cx="5257800" cy="2543175"/>
            <wp:docPr id="41" name="Drawing 41" descr=""/>
            <a:graphic xmlns:a="http://schemas.openxmlformats.org/drawingml/2006/main">
              <a:graphicData uri="http://schemas.openxmlformats.org/drawingml/2006/picture">
                <pic:pic xmlns:pic="http://schemas.openxmlformats.org/drawingml/2006/picture">
                  <pic:nvPicPr>
                    <pic:cNvPr id="0" name="Picture 41" descr=""/>
                    <pic:cNvPicPr>
                      <a:picLocks noChangeAspect="true"/>
                    </pic:cNvPicPr>
                  </pic:nvPicPr>
                  <pic:blipFill>
                    <a:blip r:embed="rId48"/>
                    <a:stretch>
                      <a:fillRect/>
                    </a:stretch>
                  </pic:blipFill>
                  <pic:spPr>
                    <a:xfrm>
                      <a:off x="0" y="0"/>
                      <a:ext cx="5257800" cy="2543175"/>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t>选择操作人员和操作时间，搜索查看人员操作记录，该功能模块可避免恶意篡改数据等</w:t>
        <w:br/>
      </w:r>
    </w:p>
    <w:p>
      <w:pPr>
        <w:pStyle w:val="1"/>
        <w:spacing w:before="380" w:after="140" w:line="288" w:lineRule="auto"/>
        <w:ind w:left="0"/>
        <w:jc w:val="left"/>
        <w:outlineLvl w:val="0"/>
      </w:pPr>
      <w:bookmarkStart w:name="heading_31" w:id="31"/>
      <w:r>
        <w:rPr>
          <w:rFonts w:eastAsia="等线" w:ascii="Arial" w:cs="Arial" w:hAnsi="Arial"/>
          <w:b w:val="true"/>
          <w:sz w:val="36"/>
        </w:rPr>
        <w:t>七、常见问题与故障处理</w:t>
      </w:r>
      <w:bookmarkEnd w:id="31"/>
    </w:p>
    <w:p>
      <w:pPr>
        <w:numPr>
          <w:numId w:val="92"/>
        </w:numPr>
        <w:spacing w:before="120" w:after="120" w:line="288" w:lineRule="auto"/>
        <w:ind w:left="0"/>
        <w:jc w:val="left"/>
      </w:pPr>
      <w:r>
        <w:rPr>
          <w:rFonts w:eastAsia="等线" w:ascii="Arial" w:cs="Arial" w:hAnsi="Arial"/>
          <w:sz w:val="22"/>
        </w:rPr>
        <w:t>访问异常：仅使用官方唯一域名登录，拒绝陌生链接、盗版网页、非官方入口，防范钓鱼攻击。</w:t>
      </w:r>
    </w:p>
    <w:p>
      <w:pPr>
        <w:numPr>
          <w:numId w:val="93"/>
        </w:numPr>
        <w:spacing w:before="120" w:after="120" w:line="288" w:lineRule="auto"/>
        <w:ind w:left="0"/>
        <w:jc w:val="left"/>
      </w:pPr>
      <w:r>
        <w:rPr>
          <w:rFonts w:eastAsia="等线" w:ascii="Arial" w:cs="Arial" w:hAnsi="Arial"/>
          <w:sz w:val="22"/>
        </w:rPr>
        <w:t>账号问题：密码遗忘、账号锁定、权限异常，联系校区管理员或简思智学对接人协助重置与修复。</w:t>
      </w:r>
    </w:p>
    <w:p>
      <w:pPr>
        <w:numPr>
          <w:numId w:val="94"/>
        </w:numPr>
        <w:spacing w:before="120" w:after="120" w:line="288" w:lineRule="auto"/>
        <w:ind w:left="0"/>
        <w:jc w:val="left"/>
      </w:pPr>
      <w:r>
        <w:rPr>
          <w:rFonts w:eastAsia="等线" w:ascii="Arial" w:cs="Arial" w:hAnsi="Arial"/>
          <w:sz w:val="22"/>
        </w:rPr>
        <w:t>操作报错：出现功能卡顿、页面报错、数据加载失败时，第一时间截图留存问题界面，刷新页面或重启浏览器重试。</w:t>
      </w:r>
    </w:p>
    <w:p>
      <w:pPr>
        <w:numPr>
          <w:numId w:val="95"/>
        </w:numPr>
        <w:spacing w:before="120" w:after="120" w:line="288" w:lineRule="auto"/>
        <w:ind w:left="0"/>
        <w:jc w:val="left"/>
      </w:pPr>
      <w:r>
        <w:rPr>
          <w:rFonts w:eastAsia="等线" w:ascii="Arial" w:cs="Arial" w:hAnsi="Arial"/>
          <w:sz w:val="22"/>
        </w:rPr>
        <w:t>数据异常：课时数据、学员信息、运营报表显示错误，禁止自行修改后台数据，及时反馈对接人排查修复。</w:t>
      </w:r>
    </w:p>
    <w:p>
      <w:pPr>
        <w:numPr>
          <w:numId w:val="96"/>
        </w:numPr>
        <w:spacing w:before="120" w:after="120" w:line="288" w:lineRule="auto"/>
        <w:ind w:left="0"/>
        <w:jc w:val="left"/>
      </w:pPr>
      <w:r>
        <w:rPr>
          <w:rFonts w:eastAsia="等线" w:ascii="Arial" w:cs="Arial" w:hAnsi="Arial"/>
          <w:sz w:val="22"/>
        </w:rPr>
        <w:t>故障报修：自主排查无法解决的系统故障、功能 bug，统一联系简思智学市场对接人员，获取技术支持。</w:t>
      </w:r>
    </w:p>
    <w:p>
      <w:pPr>
        <w:pStyle w:val="1"/>
        <w:spacing w:before="380" w:after="140" w:line="288" w:lineRule="auto"/>
        <w:ind w:left="0"/>
        <w:jc w:val="left"/>
        <w:outlineLvl w:val="0"/>
      </w:pPr>
      <w:bookmarkStart w:name="heading_32" w:id="32"/>
      <w:r>
        <w:rPr>
          <w:rFonts w:eastAsia="等线" w:ascii="Arial" w:cs="Arial" w:hAnsi="Arial"/>
          <w:b w:val="true"/>
          <w:sz w:val="36"/>
        </w:rPr>
        <w:t>八、附则</w:t>
      </w:r>
      <w:bookmarkEnd w:id="32"/>
    </w:p>
    <w:p>
      <w:pPr>
        <w:numPr>
          <w:numId w:val="97"/>
        </w:numPr>
        <w:spacing w:before="120" w:after="120" w:line="288" w:lineRule="auto"/>
        <w:ind w:left="0"/>
        <w:jc w:val="left"/>
      </w:pPr>
      <w:r>
        <w:rPr>
          <w:rFonts w:eastAsia="等线" w:ascii="Arial" w:cs="Arial" w:hAnsi="Arial"/>
          <w:sz w:val="22"/>
        </w:rPr>
        <w:t>本手册为通用标准操作规范，平台功能升级、流程优化后，将同步更新条款内容。</w:t>
      </w:r>
    </w:p>
    <w:p>
      <w:pPr>
        <w:numPr>
          <w:numId w:val="98"/>
        </w:numPr>
        <w:spacing w:before="120" w:after="120" w:line="288" w:lineRule="auto"/>
        <w:ind w:left="0"/>
        <w:jc w:val="left"/>
      </w:pPr>
      <w:r>
        <w:rPr>
          <w:rFonts w:eastAsia="等线" w:ascii="Arial" w:cs="Arial" w:hAnsi="Arial"/>
          <w:sz w:val="22"/>
        </w:rPr>
        <w:t>所有平台使用人员须严格遵守本手册管理规定，违规操作造成数据泄露、财务损失、运营风险的，由责任人自行承担相关责任。</w:t>
      </w:r>
    </w:p>
    <w:p>
      <w:pPr>
        <w:numPr>
          <w:numId w:val="99"/>
        </w:numPr>
        <w:spacing w:before="120" w:after="120" w:line="288" w:lineRule="auto"/>
        <w:ind w:left="0"/>
        <w:jc w:val="left"/>
      </w:pPr>
      <w:r>
        <w:rPr>
          <w:rFonts w:eastAsia="等线" w:ascii="Arial" w:cs="Arial" w:hAnsi="Arial"/>
          <w:sz w:val="22"/>
        </w:rPr>
        <w:t>本简思智学学校安全运营平台服务手册最终解释权归简思智学所有。</w:t>
      </w:r>
    </w:p>
    <w:p>
      <w:pPr>
        <w:spacing w:before="120" w:after="120" w:line="288" w:lineRule="auto"/>
        <w:ind w:left="0"/>
        <w:jc w:val="left"/>
      </w:pPr>
      <w:r>
        <w:rPr>
          <w:rFonts w:eastAsia="等线" w:ascii="Arial" w:cs="Arial" w:hAnsi="Arial"/>
          <w:sz w:val="22"/>
        </w:rPr>
        <w:t>|(注：内容由 AI 生成，请谨慎参考）</w:t>
      </w:r>
    </w:p>
    <w:sectPr>
      <w:footerReference w:type="default" r:id="rId3"/>
      <w:headerReference w:type="default" r:id="rId49"/>
      <w:pgSz w:orient="portrait" w:h="16840" w:w="11905"/>
    </w:sectPr>
  </w:body>
</w:document>
</file>

<file path=word/footer1.xml><?xml version="1.0" encoding="utf-8"?>
<w:ftr xmlns:w="http://schemas.openxmlformats.org/wordprocessingml/2006/main">
  <w:p/>
</w:ftr>
</file>

<file path=word/header1.xml><?xml version="1.0" encoding="utf-8"?>
<w:hdr xmlns:w="http://schemas.openxmlformats.org/wordprocessingml/2006/main">
  <w:p/>
</w:hdr>
</file>

<file path=word/numbering.xml><?xml version="1.0" encoding="utf-8"?>
<w:numbering xmlns:w="http://schemas.openxmlformats.org/wordprocessingml/2006/main">
  <w:abstractNum w:abstractNumId="739956">
    <w:lvl>
      <w:numFmt w:val="bullet"/>
      <w:suff w:val="tab"/>
      <w:lvlText w:val="•"/>
      <w:rPr>
        <w:color w:val="3370ff"/>
      </w:rPr>
    </w:lvl>
  </w:abstractNum>
  <w:abstractNum w:abstractNumId="739957">
    <w:lvl>
      <w:numFmt w:val="bullet"/>
      <w:suff w:val="tab"/>
      <w:lvlText w:val="•"/>
      <w:rPr>
        <w:color w:val="3370ff"/>
      </w:rPr>
    </w:lvl>
  </w:abstractNum>
  <w:abstractNum w:abstractNumId="739958">
    <w:lvl>
      <w:numFmt w:val="bullet"/>
      <w:suff w:val="tab"/>
      <w:lvlText w:val="•"/>
      <w:rPr>
        <w:color w:val="3370ff"/>
      </w:rPr>
    </w:lvl>
  </w:abstractNum>
  <w:abstractNum w:abstractNumId="739959">
    <w:lvl>
      <w:numFmt w:val="bullet"/>
      <w:suff w:val="tab"/>
      <w:lvlText w:val="•"/>
      <w:rPr>
        <w:color w:val="3370ff"/>
      </w:rPr>
    </w:lvl>
  </w:abstractNum>
  <w:abstractNum w:abstractNumId="739960">
    <w:lvl>
      <w:numFmt w:val="bullet"/>
      <w:suff w:val="tab"/>
      <w:lvlText w:val="•"/>
      <w:rPr>
        <w:color w:val="3370ff"/>
      </w:rPr>
    </w:lvl>
  </w:abstractNum>
  <w:abstractNum w:abstractNumId="739961">
    <w:lvl>
      <w:numFmt w:val="bullet"/>
      <w:suff w:val="tab"/>
      <w:lvlText w:val="•"/>
      <w:rPr>
        <w:color w:val="3370ff"/>
      </w:rPr>
    </w:lvl>
  </w:abstractNum>
  <w:abstractNum w:abstractNumId="739962">
    <w:lvl>
      <w:numFmt w:val="bullet"/>
      <w:suff w:val="tab"/>
      <w:lvlText w:val="￮"/>
      <w:rPr>
        <w:color w:val="3370ff"/>
      </w:rPr>
    </w:lvl>
  </w:abstractNum>
  <w:abstractNum w:abstractNumId="739963">
    <w:lvl>
      <w:numFmt w:val="bullet"/>
      <w:suff w:val="tab"/>
      <w:lvlText w:val="￮"/>
      <w:rPr>
        <w:color w:val="3370ff"/>
      </w:rPr>
    </w:lvl>
  </w:abstractNum>
  <w:abstractNum w:abstractNumId="739964">
    <w:lvl>
      <w:numFmt w:val="bullet"/>
      <w:suff w:val="tab"/>
      <w:lvlText w:val="￮"/>
      <w:rPr>
        <w:color w:val="3370ff"/>
      </w:rPr>
    </w:lvl>
  </w:abstractNum>
  <w:abstractNum w:abstractNumId="739965">
    <w:lvl>
      <w:numFmt w:val="bullet"/>
      <w:suff w:val="tab"/>
      <w:lvlText w:val="￮"/>
      <w:rPr>
        <w:color w:val="3370ff"/>
      </w:rPr>
    </w:lvl>
  </w:abstractNum>
  <w:abstractNum w:abstractNumId="739966">
    <w:lvl>
      <w:numFmt w:val="bullet"/>
      <w:suff w:val="tab"/>
      <w:lvlText w:val="￮"/>
      <w:rPr>
        <w:color w:val="3370ff"/>
      </w:rPr>
    </w:lvl>
  </w:abstractNum>
  <w:abstractNum w:abstractNumId="739967">
    <w:lvl>
      <w:numFmt w:val="bullet"/>
      <w:suff w:val="tab"/>
      <w:lvlText w:val="￮"/>
      <w:rPr>
        <w:color w:val="3370ff"/>
      </w:rPr>
    </w:lvl>
  </w:abstractNum>
  <w:abstractNum w:abstractNumId="739968">
    <w:lvl>
      <w:numFmt w:val="bullet"/>
      <w:suff w:val="tab"/>
      <w:lvlText w:val="￮"/>
      <w:rPr>
        <w:color w:val="3370ff"/>
      </w:rPr>
    </w:lvl>
  </w:abstractNum>
  <w:abstractNum w:abstractNumId="739969">
    <w:lvl>
      <w:numFmt w:val="bullet"/>
      <w:suff w:val="tab"/>
      <w:lvlText w:val="￮"/>
      <w:rPr>
        <w:color w:val="3370ff"/>
      </w:rPr>
    </w:lvl>
  </w:abstractNum>
  <w:abstractNum w:abstractNumId="739970">
    <w:lvl>
      <w:numFmt w:val="bullet"/>
      <w:suff w:val="tab"/>
      <w:lvlText w:val="￮"/>
      <w:rPr>
        <w:color w:val="3370ff"/>
      </w:rPr>
    </w:lvl>
  </w:abstractNum>
  <w:abstractNum w:abstractNumId="739971">
    <w:lvl>
      <w:numFmt w:val="bullet"/>
      <w:suff w:val="tab"/>
      <w:lvlText w:val="•"/>
      <w:rPr>
        <w:color w:val="3370ff"/>
      </w:rPr>
    </w:lvl>
  </w:abstractNum>
  <w:abstractNum w:abstractNumId="739972">
    <w:lvl>
      <w:numFmt w:val="bullet"/>
      <w:suff w:val="tab"/>
      <w:lvlText w:val="￮"/>
      <w:rPr>
        <w:color w:val="3370ff"/>
      </w:rPr>
    </w:lvl>
  </w:abstractNum>
  <w:abstractNum w:abstractNumId="739973">
    <w:lvl>
      <w:numFmt w:val="bullet"/>
      <w:suff w:val="tab"/>
      <w:lvlText w:val="￮"/>
      <w:rPr>
        <w:color w:val="3370ff"/>
      </w:rPr>
    </w:lvl>
  </w:abstractNum>
  <w:abstractNum w:abstractNumId="739974">
    <w:lvl>
      <w:numFmt w:val="bullet"/>
      <w:suff w:val="tab"/>
      <w:lvlText w:val="￮"/>
      <w:rPr>
        <w:color w:val="3370ff"/>
      </w:rPr>
    </w:lvl>
  </w:abstractNum>
  <w:abstractNum w:abstractNumId="739975">
    <w:lvl>
      <w:numFmt w:val="bullet"/>
      <w:suff w:val="tab"/>
      <w:lvlText w:val="•"/>
      <w:rPr>
        <w:color w:val="3370ff"/>
      </w:rPr>
    </w:lvl>
  </w:abstractNum>
  <w:abstractNum w:abstractNumId="739976">
    <w:lvl>
      <w:numFmt w:val="bullet"/>
      <w:suff w:val="tab"/>
      <w:lvlText w:val="￮"/>
      <w:rPr>
        <w:color w:val="3370ff"/>
      </w:rPr>
    </w:lvl>
  </w:abstractNum>
  <w:abstractNum w:abstractNumId="739977">
    <w:lvl>
      <w:numFmt w:val="bullet"/>
      <w:suff w:val="tab"/>
      <w:lvlText w:val="￮"/>
      <w:rPr>
        <w:color w:val="3370ff"/>
      </w:rPr>
    </w:lvl>
  </w:abstractNum>
  <w:abstractNum w:abstractNumId="739978">
    <w:lvl>
      <w:numFmt w:val="bullet"/>
      <w:suff w:val="tab"/>
      <w:lvlText w:val="￮"/>
      <w:rPr>
        <w:color w:val="3370ff"/>
      </w:rPr>
    </w:lvl>
  </w:abstractNum>
  <w:abstractNum w:abstractNumId="739979">
    <w:lvl>
      <w:numFmt w:val="bullet"/>
      <w:suff w:val="tab"/>
      <w:lvlText w:val="•"/>
      <w:rPr>
        <w:color w:val="3370ff"/>
      </w:rPr>
    </w:lvl>
  </w:abstractNum>
  <w:abstractNum w:abstractNumId="739980">
    <w:lvl>
      <w:numFmt w:val="bullet"/>
      <w:suff w:val="tab"/>
      <w:lvlText w:val="￮"/>
      <w:rPr>
        <w:color w:val="3370ff"/>
      </w:rPr>
    </w:lvl>
  </w:abstractNum>
  <w:abstractNum w:abstractNumId="739981">
    <w:lvl>
      <w:numFmt w:val="bullet"/>
      <w:suff w:val="tab"/>
      <w:lvlText w:val="￮"/>
      <w:rPr>
        <w:color w:val="3370ff"/>
      </w:rPr>
    </w:lvl>
  </w:abstractNum>
  <w:abstractNum w:abstractNumId="739982">
    <w:lvl>
      <w:numFmt w:val="bullet"/>
      <w:suff w:val="tab"/>
      <w:lvlText w:val="￮"/>
      <w:rPr>
        <w:color w:val="3370ff"/>
      </w:rPr>
    </w:lvl>
  </w:abstractNum>
  <w:abstractNum w:abstractNumId="739983">
    <w:lvl>
      <w:numFmt w:val="bullet"/>
      <w:suff w:val="tab"/>
      <w:lvlText w:val="•"/>
      <w:rPr>
        <w:color w:val="3370ff"/>
      </w:rPr>
    </w:lvl>
  </w:abstractNum>
  <w:abstractNum w:abstractNumId="739984">
    <w:lvl>
      <w:numFmt w:val="bullet"/>
      <w:suff w:val="tab"/>
      <w:lvlText w:val="￮"/>
      <w:rPr>
        <w:color w:val="3370ff"/>
      </w:rPr>
    </w:lvl>
  </w:abstractNum>
  <w:abstractNum w:abstractNumId="739985">
    <w:lvl>
      <w:numFmt w:val="bullet"/>
      <w:suff w:val="tab"/>
      <w:lvlText w:val="￮"/>
      <w:rPr>
        <w:color w:val="3370ff"/>
      </w:rPr>
    </w:lvl>
  </w:abstractNum>
  <w:abstractNum w:abstractNumId="739986">
    <w:lvl>
      <w:numFmt w:val="bullet"/>
      <w:suff w:val="tab"/>
      <w:lvlText w:val="￮"/>
      <w:rPr>
        <w:color w:val="3370ff"/>
      </w:rPr>
    </w:lvl>
  </w:abstractNum>
  <w:abstractNum w:abstractNumId="739987">
    <w:lvl>
      <w:numFmt w:val="bullet"/>
      <w:suff w:val="tab"/>
      <w:lvlText w:val="•"/>
      <w:rPr>
        <w:color w:val="3370ff"/>
      </w:rPr>
    </w:lvl>
  </w:abstractNum>
  <w:abstractNum w:abstractNumId="739988">
    <w:lvl>
      <w:numFmt w:val="bullet"/>
      <w:suff w:val="tab"/>
      <w:lvlText w:val="￮"/>
      <w:rPr>
        <w:color w:val="3370ff"/>
      </w:rPr>
    </w:lvl>
  </w:abstractNum>
  <w:abstractNum w:abstractNumId="739989">
    <w:lvl>
      <w:numFmt w:val="bullet"/>
      <w:suff w:val="tab"/>
      <w:lvlText w:val="￮"/>
      <w:rPr>
        <w:color w:val="3370ff"/>
      </w:rPr>
    </w:lvl>
  </w:abstractNum>
  <w:abstractNum w:abstractNumId="739990">
    <w:lvl>
      <w:numFmt w:val="bullet"/>
      <w:suff w:val="tab"/>
      <w:lvlText w:val="￮"/>
      <w:rPr>
        <w:color w:val="3370ff"/>
      </w:rPr>
    </w:lvl>
  </w:abstractNum>
  <w:abstractNum w:abstractNumId="739991">
    <w:lvl>
      <w:numFmt w:val="bullet"/>
      <w:suff w:val="tab"/>
      <w:lvlText w:val="•"/>
      <w:rPr>
        <w:color w:val="3370ff"/>
      </w:rPr>
    </w:lvl>
  </w:abstractNum>
  <w:abstractNum w:abstractNumId="739992">
    <w:lvl>
      <w:numFmt w:val="bullet"/>
      <w:suff w:val="tab"/>
      <w:lvlText w:val="￮"/>
      <w:rPr>
        <w:color w:val="3370ff"/>
      </w:rPr>
    </w:lvl>
  </w:abstractNum>
  <w:abstractNum w:abstractNumId="739993">
    <w:lvl>
      <w:numFmt w:val="bullet"/>
      <w:suff w:val="tab"/>
      <w:lvlText w:val="￮"/>
      <w:rPr>
        <w:color w:val="3370ff"/>
      </w:rPr>
    </w:lvl>
  </w:abstractNum>
  <w:abstractNum w:abstractNumId="739994">
    <w:lvl>
      <w:numFmt w:val="bullet"/>
      <w:suff w:val="tab"/>
      <w:lvlText w:val="￮"/>
      <w:rPr>
        <w:color w:val="3370ff"/>
      </w:rPr>
    </w:lvl>
  </w:abstractNum>
  <w:abstractNum w:abstractNumId="739995">
    <w:lvl>
      <w:numFmt w:val="bullet"/>
      <w:suff w:val="tab"/>
      <w:lvlText w:val="•"/>
      <w:rPr>
        <w:color w:val="3370ff"/>
      </w:rPr>
    </w:lvl>
  </w:abstractNum>
  <w:abstractNum w:abstractNumId="739996">
    <w:lvl>
      <w:numFmt w:val="bullet"/>
      <w:suff w:val="tab"/>
      <w:lvlText w:val="￮"/>
      <w:rPr>
        <w:color w:val="3370ff"/>
      </w:rPr>
    </w:lvl>
  </w:abstractNum>
  <w:abstractNum w:abstractNumId="739997">
    <w:lvl>
      <w:numFmt w:val="bullet"/>
      <w:suff w:val="tab"/>
      <w:lvlText w:val="￮"/>
      <w:rPr>
        <w:color w:val="3370ff"/>
      </w:rPr>
    </w:lvl>
  </w:abstractNum>
  <w:abstractNum w:abstractNumId="739998">
    <w:lvl>
      <w:numFmt w:val="bullet"/>
      <w:suff w:val="tab"/>
      <w:lvlText w:val="￮"/>
      <w:rPr>
        <w:color w:val="3370ff"/>
      </w:rPr>
    </w:lvl>
  </w:abstractNum>
  <w:abstractNum w:abstractNumId="739999">
    <w:lvl>
      <w:numFmt w:val="bullet"/>
      <w:suff w:val="tab"/>
      <w:lvlText w:val="•"/>
      <w:rPr>
        <w:color w:val="3370ff"/>
      </w:rPr>
    </w:lvl>
  </w:abstractNum>
  <w:abstractNum w:abstractNumId="740000">
    <w:lvl>
      <w:numFmt w:val="bullet"/>
      <w:suff w:val="tab"/>
      <w:lvlText w:val="￮"/>
      <w:rPr>
        <w:color w:val="3370ff"/>
      </w:rPr>
    </w:lvl>
  </w:abstractNum>
  <w:abstractNum w:abstractNumId="740001">
    <w:lvl>
      <w:numFmt w:val="bullet"/>
      <w:suff w:val="tab"/>
      <w:lvlText w:val="￮"/>
      <w:rPr>
        <w:color w:val="3370ff"/>
      </w:rPr>
    </w:lvl>
  </w:abstractNum>
  <w:abstractNum w:abstractNumId="740002">
    <w:lvl>
      <w:numFmt w:val="bullet"/>
      <w:suff w:val="tab"/>
      <w:lvlText w:val="￮"/>
      <w:rPr>
        <w:color w:val="3370ff"/>
      </w:rPr>
    </w:lvl>
  </w:abstractNum>
  <w:abstractNum w:abstractNumId="740003">
    <w:lvl>
      <w:numFmt w:val="bullet"/>
      <w:suff w:val="tab"/>
      <w:lvlText w:val="•"/>
      <w:rPr>
        <w:color w:val="3370ff"/>
      </w:rPr>
    </w:lvl>
  </w:abstractNum>
  <w:abstractNum w:abstractNumId="740004">
    <w:lvl>
      <w:numFmt w:val="bullet"/>
      <w:suff w:val="tab"/>
      <w:lvlText w:val="￮"/>
      <w:rPr>
        <w:color w:val="3370ff"/>
      </w:rPr>
    </w:lvl>
  </w:abstractNum>
  <w:abstractNum w:abstractNumId="740005">
    <w:lvl>
      <w:numFmt w:val="bullet"/>
      <w:suff w:val="tab"/>
      <w:lvlText w:val="￮"/>
      <w:rPr>
        <w:color w:val="3370ff"/>
      </w:rPr>
    </w:lvl>
  </w:abstractNum>
  <w:abstractNum w:abstractNumId="740006">
    <w:lvl>
      <w:numFmt w:val="bullet"/>
      <w:suff w:val="tab"/>
      <w:lvlText w:val="￮"/>
      <w:rPr>
        <w:color w:val="3370ff"/>
      </w:rPr>
    </w:lvl>
  </w:abstractNum>
  <w:abstractNum w:abstractNumId="740007">
    <w:lvl>
      <w:numFmt w:val="bullet"/>
      <w:suff w:val="tab"/>
      <w:lvlText w:val="•"/>
      <w:rPr>
        <w:color w:val="3370ff"/>
      </w:rPr>
    </w:lvl>
  </w:abstractNum>
  <w:abstractNum w:abstractNumId="740008">
    <w:lvl>
      <w:numFmt w:val="bullet"/>
      <w:suff w:val="tab"/>
      <w:lvlText w:val="￮"/>
      <w:rPr>
        <w:color w:val="3370ff"/>
      </w:rPr>
    </w:lvl>
  </w:abstractNum>
  <w:abstractNum w:abstractNumId="740009">
    <w:lvl>
      <w:numFmt w:val="bullet"/>
      <w:suff w:val="tab"/>
      <w:lvlText w:val="￮"/>
      <w:rPr>
        <w:color w:val="3370ff"/>
      </w:rPr>
    </w:lvl>
  </w:abstractNum>
  <w:abstractNum w:abstractNumId="740010">
    <w:lvl>
      <w:numFmt w:val="bullet"/>
      <w:suff w:val="tab"/>
      <w:lvlText w:val="￮"/>
      <w:rPr>
        <w:color w:val="3370ff"/>
      </w:rPr>
    </w:lvl>
  </w:abstractNum>
  <w:abstractNum w:abstractNumId="740011">
    <w:lvl>
      <w:numFmt w:val="bullet"/>
      <w:suff w:val="tab"/>
      <w:lvlText w:val="•"/>
      <w:rPr>
        <w:color w:val="3370ff"/>
      </w:rPr>
    </w:lvl>
  </w:abstractNum>
  <w:abstractNum w:abstractNumId="740012">
    <w:lvl>
      <w:numFmt w:val="bullet"/>
      <w:suff w:val="tab"/>
      <w:lvlText w:val="•"/>
      <w:rPr>
        <w:color w:val="3370ff"/>
      </w:rPr>
    </w:lvl>
  </w:abstractNum>
  <w:abstractNum w:abstractNumId="740013">
    <w:lvl>
      <w:numFmt w:val="bullet"/>
      <w:suff w:val="tab"/>
      <w:lvlText w:val="•"/>
      <w:rPr>
        <w:color w:val="3370ff"/>
      </w:rPr>
    </w:lvl>
  </w:abstractNum>
  <w:abstractNum w:abstractNumId="740014">
    <w:lvl>
      <w:numFmt w:val="bullet"/>
      <w:suff w:val="tab"/>
      <w:lvlText w:val="•"/>
      <w:rPr>
        <w:color w:val="3370ff"/>
      </w:rPr>
    </w:lvl>
  </w:abstractNum>
  <w:abstractNum w:abstractNumId="740015">
    <w:lvl>
      <w:numFmt w:val="bullet"/>
      <w:suff w:val="tab"/>
      <w:lvlText w:val="•"/>
      <w:rPr>
        <w:color w:val="3370ff"/>
      </w:rPr>
    </w:lvl>
  </w:abstractNum>
  <w:abstractNum w:abstractNumId="740016">
    <w:lvl>
      <w:numFmt w:val="bullet"/>
      <w:suff w:val="tab"/>
      <w:lvlText w:val="•"/>
      <w:rPr>
        <w:color w:val="3370ff"/>
      </w:rPr>
    </w:lvl>
  </w:abstractNum>
  <w:abstractNum w:abstractNumId="740017">
    <w:lvl>
      <w:numFmt w:val="bullet"/>
      <w:suff w:val="tab"/>
      <w:lvlText w:val="•"/>
      <w:rPr>
        <w:color w:val="3370ff"/>
      </w:rPr>
    </w:lvl>
  </w:abstractNum>
  <w:abstractNum w:abstractNumId="740018">
    <w:lvl>
      <w:numFmt w:val="bullet"/>
      <w:suff w:val="tab"/>
      <w:lvlText w:val="•"/>
      <w:rPr>
        <w:color w:val="3370ff"/>
      </w:rPr>
    </w:lvl>
  </w:abstractNum>
  <w:abstractNum w:abstractNumId="740019">
    <w:lvl>
      <w:numFmt w:val="bullet"/>
      <w:suff w:val="tab"/>
      <w:lvlText w:val="•"/>
      <w:rPr>
        <w:color w:val="3370ff"/>
      </w:rPr>
    </w:lvl>
  </w:abstractNum>
  <w:abstractNum w:abstractNumId="740020">
    <w:lvl>
      <w:numFmt w:val="bullet"/>
      <w:suff w:val="tab"/>
      <w:lvlText w:val="•"/>
      <w:rPr>
        <w:color w:val="3370ff"/>
      </w:rPr>
    </w:lvl>
  </w:abstractNum>
  <w:abstractNum w:abstractNumId="740021">
    <w:lvl>
      <w:numFmt w:val="bullet"/>
      <w:suff w:val="tab"/>
      <w:lvlText w:val="•"/>
      <w:rPr>
        <w:color w:val="3370ff"/>
      </w:rPr>
    </w:lvl>
  </w:abstractNum>
  <w:abstractNum w:abstractNumId="740022">
    <w:lvl>
      <w:numFmt w:val="bullet"/>
      <w:suff w:val="tab"/>
      <w:lvlText w:val="•"/>
      <w:rPr>
        <w:color w:val="3370ff"/>
      </w:rPr>
    </w:lvl>
  </w:abstractNum>
  <w:abstractNum w:abstractNumId="740023">
    <w:lvl>
      <w:numFmt w:val="bullet"/>
      <w:suff w:val="tab"/>
      <w:lvlText w:val="•"/>
      <w:rPr>
        <w:color w:val="3370ff"/>
      </w:rPr>
    </w:lvl>
  </w:abstractNum>
  <w:abstractNum w:abstractNumId="740024">
    <w:lvl>
      <w:numFmt w:val="bullet"/>
      <w:suff w:val="tab"/>
      <w:lvlText w:val="•"/>
      <w:rPr>
        <w:color w:val="3370ff"/>
      </w:rPr>
    </w:lvl>
  </w:abstractNum>
  <w:abstractNum w:abstractNumId="740025">
    <w:lvl>
      <w:numFmt w:val="bullet"/>
      <w:suff w:val="tab"/>
      <w:lvlText w:val="•"/>
      <w:rPr>
        <w:color w:val="3370ff"/>
      </w:rPr>
    </w:lvl>
  </w:abstractNum>
  <w:abstractNum w:abstractNumId="740026">
    <w:lvl>
      <w:numFmt w:val="bullet"/>
      <w:suff w:val="tab"/>
      <w:lvlText w:val="•"/>
      <w:rPr>
        <w:color w:val="3370ff"/>
      </w:rPr>
    </w:lvl>
  </w:abstractNum>
  <w:abstractNum w:abstractNumId="740027">
    <w:lvl>
      <w:numFmt w:val="bullet"/>
      <w:suff w:val="tab"/>
      <w:lvlText w:val="•"/>
      <w:rPr>
        <w:color w:val="3370ff"/>
      </w:rPr>
    </w:lvl>
  </w:abstractNum>
  <w:abstractNum w:abstractNumId="740028">
    <w:lvl>
      <w:numFmt w:val="bullet"/>
      <w:suff w:val="tab"/>
      <w:lvlText w:val="•"/>
      <w:rPr>
        <w:color w:val="3370ff"/>
      </w:rPr>
    </w:lvl>
  </w:abstractNum>
  <w:abstractNum w:abstractNumId="740029">
    <w:lvl>
      <w:numFmt w:val="bullet"/>
      <w:suff w:val="tab"/>
      <w:lvlText w:val="￮"/>
      <w:rPr>
        <w:color w:val="3370ff"/>
      </w:rPr>
    </w:lvl>
  </w:abstractNum>
  <w:abstractNum w:abstractNumId="740030">
    <w:lvl>
      <w:numFmt w:val="bullet"/>
      <w:suff w:val="tab"/>
      <w:lvlText w:val="￮"/>
      <w:rPr>
        <w:color w:val="3370ff"/>
      </w:rPr>
    </w:lvl>
  </w:abstractNum>
  <w:abstractNum w:abstractNumId="740031">
    <w:lvl>
      <w:numFmt w:val="bullet"/>
      <w:suff w:val="tab"/>
      <w:lvlText w:val="￮"/>
      <w:rPr>
        <w:color w:val="3370ff"/>
      </w:rPr>
    </w:lvl>
  </w:abstractNum>
  <w:abstractNum w:abstractNumId="740032">
    <w:lvl>
      <w:numFmt w:val="bullet"/>
      <w:suff w:val="tab"/>
      <w:lvlText w:val="•"/>
      <w:rPr>
        <w:color w:val="3370ff"/>
      </w:rPr>
    </w:lvl>
  </w:abstractNum>
  <w:abstractNum w:abstractNumId="740033">
    <w:lvl>
      <w:numFmt w:val="bullet"/>
      <w:suff w:val="tab"/>
      <w:lvlText w:val="•"/>
      <w:rPr>
        <w:color w:val="3370ff"/>
      </w:rPr>
    </w:lvl>
  </w:abstractNum>
  <w:abstractNum w:abstractNumId="740034">
    <w:lvl>
      <w:numFmt w:val="bullet"/>
      <w:suff w:val="tab"/>
      <w:lvlText w:val="•"/>
      <w:rPr>
        <w:color w:val="3370ff"/>
      </w:rPr>
    </w:lvl>
  </w:abstractNum>
  <w:abstractNum w:abstractNumId="740035">
    <w:lvl>
      <w:numFmt w:val="bullet"/>
      <w:suff w:val="tab"/>
      <w:lvlText w:val="•"/>
      <w:rPr>
        <w:color w:val="3370ff"/>
      </w:rPr>
    </w:lvl>
  </w:abstractNum>
  <w:abstractNum w:abstractNumId="740036">
    <w:lvl>
      <w:numFmt w:val="bullet"/>
      <w:suff w:val="tab"/>
      <w:lvlText w:val="•"/>
      <w:rPr>
        <w:color w:val="3370ff"/>
      </w:rPr>
    </w:lvl>
  </w:abstractNum>
  <w:abstractNum w:abstractNumId="740037">
    <w:lvl>
      <w:numFmt w:val="bullet"/>
      <w:suff w:val="tab"/>
      <w:lvlText w:val="￮"/>
      <w:rPr>
        <w:color w:val="3370ff"/>
      </w:rPr>
    </w:lvl>
  </w:abstractNum>
  <w:abstractNum w:abstractNumId="740038">
    <w:lvl>
      <w:numFmt w:val="bullet"/>
      <w:suff w:val="tab"/>
      <w:lvlText w:val="￮"/>
      <w:rPr>
        <w:color w:val="3370ff"/>
      </w:rPr>
    </w:lvl>
  </w:abstractNum>
  <w:abstractNum w:abstractNumId="740039">
    <w:lvl>
      <w:numFmt w:val="bullet"/>
      <w:suff w:val="tab"/>
      <w:lvlText w:val="￮"/>
      <w:rPr>
        <w:color w:val="3370ff"/>
      </w:rPr>
    </w:lvl>
  </w:abstractNum>
  <w:abstractNum w:abstractNumId="740040">
    <w:lvl>
      <w:numFmt w:val="bullet"/>
      <w:suff w:val="tab"/>
      <w:lvlText w:val="￮"/>
      <w:rPr>
        <w:color w:val="3370ff"/>
      </w:rPr>
    </w:lvl>
  </w:abstractNum>
  <w:abstractNum w:abstractNumId="740041">
    <w:lvl>
      <w:numFmt w:val="bullet"/>
      <w:suff w:val="tab"/>
      <w:lvlText w:val="•"/>
      <w:rPr>
        <w:color w:val="3370ff"/>
      </w:rPr>
    </w:lvl>
  </w:abstractNum>
  <w:abstractNum w:abstractNumId="740042">
    <w:lvl>
      <w:numFmt w:val="bullet"/>
      <w:suff w:val="tab"/>
      <w:lvlText w:val="•"/>
      <w:rPr>
        <w:color w:val="3370ff"/>
      </w:rPr>
    </w:lvl>
  </w:abstractNum>
  <w:abstractNum w:abstractNumId="740043">
    <w:lvl>
      <w:numFmt w:val="bullet"/>
      <w:suff w:val="tab"/>
      <w:lvlText w:val="•"/>
      <w:rPr>
        <w:color w:val="3370ff"/>
      </w:rPr>
    </w:lvl>
  </w:abstractNum>
  <w:abstractNum w:abstractNumId="740044">
    <w:lvl>
      <w:numFmt w:val="bullet"/>
      <w:suff w:val="tab"/>
      <w:lvlText w:val="•"/>
      <w:rPr>
        <w:color w:val="3370ff"/>
      </w:rPr>
    </w:lvl>
  </w:abstractNum>
  <w:abstractNum w:abstractNumId="740045">
    <w:lvl>
      <w:numFmt w:val="bullet"/>
      <w:suff w:val="tab"/>
      <w:lvlText w:val="￮"/>
      <w:rPr>
        <w:color w:val="3370ff"/>
      </w:rPr>
    </w:lvl>
  </w:abstractNum>
  <w:abstractNum w:abstractNumId="740046">
    <w:lvl>
      <w:numFmt w:val="bullet"/>
      <w:suff w:val="tab"/>
      <w:lvlText w:val="￮"/>
      <w:rPr>
        <w:color w:val="3370ff"/>
      </w:rPr>
    </w:lvl>
  </w:abstractNum>
  <w:abstractNum w:abstractNumId="740047">
    <w:lvl>
      <w:start w:val="1"/>
      <w:numFmt w:val="decimal"/>
      <w:suff w:val="tab"/>
      <w:lvlText w:val="%1."/>
      <w:rPr>
        <w:color w:val="3370ff"/>
      </w:rPr>
    </w:lvl>
  </w:abstractNum>
  <w:abstractNum w:abstractNumId="740048">
    <w:lvl>
      <w:start w:val="2"/>
      <w:numFmt w:val="decimal"/>
      <w:suff w:val="tab"/>
      <w:lvlText w:val="%1."/>
      <w:rPr>
        <w:color w:val="3370ff"/>
      </w:rPr>
    </w:lvl>
  </w:abstractNum>
  <w:abstractNum w:abstractNumId="740049">
    <w:lvl>
      <w:start w:val="3"/>
      <w:numFmt w:val="decimal"/>
      <w:suff w:val="tab"/>
      <w:lvlText w:val="%1."/>
      <w:rPr>
        <w:color w:val="3370ff"/>
      </w:rPr>
    </w:lvl>
  </w:abstractNum>
  <w:abstractNum w:abstractNumId="740050">
    <w:lvl>
      <w:start w:val="4"/>
      <w:numFmt w:val="decimal"/>
      <w:suff w:val="tab"/>
      <w:lvlText w:val="%1."/>
      <w:rPr>
        <w:color w:val="3370ff"/>
      </w:rPr>
    </w:lvl>
  </w:abstractNum>
  <w:abstractNum w:abstractNumId="740051">
    <w:lvl>
      <w:start w:val="5"/>
      <w:numFmt w:val="decimal"/>
      <w:suff w:val="tab"/>
      <w:lvlText w:val="%1."/>
      <w:rPr>
        <w:color w:val="3370ff"/>
      </w:rPr>
    </w:lvl>
  </w:abstractNum>
  <w:abstractNum w:abstractNumId="740052">
    <w:lvl>
      <w:start w:val="1"/>
      <w:numFmt w:val="decimal"/>
      <w:suff w:val="tab"/>
      <w:lvlText w:val="%1."/>
      <w:rPr>
        <w:color w:val="3370ff"/>
      </w:rPr>
    </w:lvl>
  </w:abstractNum>
  <w:abstractNum w:abstractNumId="740053">
    <w:lvl>
      <w:start w:val="2"/>
      <w:numFmt w:val="decimal"/>
      <w:suff w:val="tab"/>
      <w:lvlText w:val="%1."/>
      <w:rPr>
        <w:color w:val="3370ff"/>
      </w:rPr>
    </w:lvl>
  </w:abstractNum>
  <w:abstractNum w:abstractNumId="740054">
    <w:lvl>
      <w:start w:val="3"/>
      <w:numFmt w:val="decimal"/>
      <w:suff w:val="tab"/>
      <w:lvlText w:val="%1."/>
      <w:rPr>
        <w:color w:val="3370ff"/>
      </w:rPr>
    </w:lvl>
  </w:abstractNum>
  <w:num w:numId="1">
    <w:abstractNumId w:val="739956"/>
  </w:num>
  <w:num w:numId="2">
    <w:abstractNumId w:val="739957"/>
  </w:num>
  <w:num w:numId="3">
    <w:abstractNumId w:val="739958"/>
  </w:num>
  <w:num w:numId="4">
    <w:abstractNumId w:val="739959"/>
  </w:num>
  <w:num w:numId="5">
    <w:abstractNumId w:val="739960"/>
  </w:num>
  <w:num w:numId="6">
    <w:abstractNumId w:val="739961"/>
  </w:num>
  <w:num w:numId="7">
    <w:abstractNumId w:val="739962"/>
  </w:num>
  <w:num w:numId="8">
    <w:abstractNumId w:val="739963"/>
  </w:num>
  <w:num w:numId="9">
    <w:abstractNumId w:val="739964"/>
  </w:num>
  <w:num w:numId="10">
    <w:abstractNumId w:val="739965"/>
  </w:num>
  <w:num w:numId="11">
    <w:abstractNumId w:val="739966"/>
  </w:num>
  <w:num w:numId="12">
    <w:abstractNumId w:val="739967"/>
  </w:num>
  <w:num w:numId="13">
    <w:abstractNumId w:val="739968"/>
  </w:num>
  <w:num w:numId="14">
    <w:abstractNumId w:val="739969"/>
  </w:num>
  <w:num w:numId="15">
    <w:abstractNumId w:val="739970"/>
  </w:num>
  <w:num w:numId="16">
    <w:abstractNumId w:val="739971"/>
  </w:num>
  <w:num w:numId="17">
    <w:abstractNumId w:val="739972"/>
  </w:num>
  <w:num w:numId="18">
    <w:abstractNumId w:val="739973"/>
  </w:num>
  <w:num w:numId="19">
    <w:abstractNumId w:val="739974"/>
  </w:num>
  <w:num w:numId="20">
    <w:abstractNumId w:val="739975"/>
  </w:num>
  <w:num w:numId="21">
    <w:abstractNumId w:val="739976"/>
  </w:num>
  <w:num w:numId="22">
    <w:abstractNumId w:val="739977"/>
  </w:num>
  <w:num w:numId="23">
    <w:abstractNumId w:val="739978"/>
  </w:num>
  <w:num w:numId="24">
    <w:abstractNumId w:val="739979"/>
  </w:num>
  <w:num w:numId="25">
    <w:abstractNumId w:val="739980"/>
  </w:num>
  <w:num w:numId="26">
    <w:abstractNumId w:val="739981"/>
  </w:num>
  <w:num w:numId="27">
    <w:abstractNumId w:val="739982"/>
  </w:num>
  <w:num w:numId="28">
    <w:abstractNumId w:val="739983"/>
  </w:num>
  <w:num w:numId="29">
    <w:abstractNumId w:val="739984"/>
  </w:num>
  <w:num w:numId="30">
    <w:abstractNumId w:val="739985"/>
  </w:num>
  <w:num w:numId="31">
    <w:abstractNumId w:val="739986"/>
  </w:num>
  <w:num w:numId="32">
    <w:abstractNumId w:val="739987"/>
  </w:num>
  <w:num w:numId="33">
    <w:abstractNumId w:val="739988"/>
  </w:num>
  <w:num w:numId="34">
    <w:abstractNumId w:val="739989"/>
  </w:num>
  <w:num w:numId="35">
    <w:abstractNumId w:val="739990"/>
  </w:num>
  <w:num w:numId="36">
    <w:abstractNumId w:val="739991"/>
  </w:num>
  <w:num w:numId="37">
    <w:abstractNumId w:val="739992"/>
  </w:num>
  <w:num w:numId="38">
    <w:abstractNumId w:val="739993"/>
  </w:num>
  <w:num w:numId="39">
    <w:abstractNumId w:val="739994"/>
  </w:num>
  <w:num w:numId="40">
    <w:abstractNumId w:val="739995"/>
  </w:num>
  <w:num w:numId="41">
    <w:abstractNumId w:val="739996"/>
  </w:num>
  <w:num w:numId="42">
    <w:abstractNumId w:val="739997"/>
  </w:num>
  <w:num w:numId="43">
    <w:abstractNumId w:val="739998"/>
  </w:num>
  <w:num w:numId="44">
    <w:abstractNumId w:val="739999"/>
  </w:num>
  <w:num w:numId="45">
    <w:abstractNumId w:val="740000"/>
  </w:num>
  <w:num w:numId="46">
    <w:abstractNumId w:val="740001"/>
  </w:num>
  <w:num w:numId="47">
    <w:abstractNumId w:val="740002"/>
  </w:num>
  <w:num w:numId="48">
    <w:abstractNumId w:val="740003"/>
  </w:num>
  <w:num w:numId="49">
    <w:abstractNumId w:val="740004"/>
  </w:num>
  <w:num w:numId="50">
    <w:abstractNumId w:val="740005"/>
  </w:num>
  <w:num w:numId="51">
    <w:abstractNumId w:val="740006"/>
  </w:num>
  <w:num w:numId="52">
    <w:abstractNumId w:val="740007"/>
  </w:num>
  <w:num w:numId="53">
    <w:abstractNumId w:val="740008"/>
  </w:num>
  <w:num w:numId="54">
    <w:abstractNumId w:val="740009"/>
  </w:num>
  <w:num w:numId="55">
    <w:abstractNumId w:val="740010"/>
  </w:num>
  <w:num w:numId="56">
    <w:abstractNumId w:val="740011"/>
  </w:num>
  <w:num w:numId="57">
    <w:abstractNumId w:val="740012"/>
  </w:num>
  <w:num w:numId="58">
    <w:abstractNumId w:val="740013"/>
  </w:num>
  <w:num w:numId="59">
    <w:abstractNumId w:val="740014"/>
  </w:num>
  <w:num w:numId="60">
    <w:abstractNumId w:val="740015"/>
  </w:num>
  <w:num w:numId="61">
    <w:abstractNumId w:val="740016"/>
  </w:num>
  <w:num w:numId="62">
    <w:abstractNumId w:val="740017"/>
  </w:num>
  <w:num w:numId="63">
    <w:abstractNumId w:val="740018"/>
  </w:num>
  <w:num w:numId="64">
    <w:abstractNumId w:val="740019"/>
  </w:num>
  <w:num w:numId="65">
    <w:abstractNumId w:val="740020"/>
  </w:num>
  <w:num w:numId="66">
    <w:abstractNumId w:val="740021"/>
  </w:num>
  <w:num w:numId="67">
    <w:abstractNumId w:val="740022"/>
  </w:num>
  <w:num w:numId="68">
    <w:abstractNumId w:val="740023"/>
  </w:num>
  <w:num w:numId="69">
    <w:abstractNumId w:val="740024"/>
  </w:num>
  <w:num w:numId="70">
    <w:abstractNumId w:val="740025"/>
  </w:num>
  <w:num w:numId="71">
    <w:abstractNumId w:val="740026"/>
  </w:num>
  <w:num w:numId="72">
    <w:abstractNumId w:val="740027"/>
  </w:num>
  <w:num w:numId="73">
    <w:abstractNumId w:val="740028"/>
  </w:num>
  <w:num w:numId="74">
    <w:abstractNumId w:val="740029"/>
  </w:num>
  <w:num w:numId="75">
    <w:abstractNumId w:val="740030"/>
  </w:num>
  <w:num w:numId="76">
    <w:abstractNumId w:val="740031"/>
  </w:num>
  <w:num w:numId="77">
    <w:abstractNumId w:val="740032"/>
  </w:num>
  <w:num w:numId="78">
    <w:abstractNumId w:val="740033"/>
  </w:num>
  <w:num w:numId="79">
    <w:abstractNumId w:val="740034"/>
  </w:num>
  <w:num w:numId="80">
    <w:abstractNumId w:val="740035"/>
  </w:num>
  <w:num w:numId="81">
    <w:abstractNumId w:val="740036"/>
  </w:num>
  <w:num w:numId="82">
    <w:abstractNumId w:val="740037"/>
  </w:num>
  <w:num w:numId="83">
    <w:abstractNumId w:val="740038"/>
  </w:num>
  <w:num w:numId="84">
    <w:abstractNumId w:val="740039"/>
  </w:num>
  <w:num w:numId="85">
    <w:abstractNumId w:val="740040"/>
  </w:num>
  <w:num w:numId="86">
    <w:abstractNumId w:val="740041"/>
  </w:num>
  <w:num w:numId="87">
    <w:abstractNumId w:val="740042"/>
  </w:num>
  <w:num w:numId="88">
    <w:abstractNumId w:val="740043"/>
  </w:num>
  <w:num w:numId="89">
    <w:abstractNumId w:val="740044"/>
  </w:num>
  <w:num w:numId="90">
    <w:abstractNumId w:val="740045"/>
  </w:num>
  <w:num w:numId="91">
    <w:abstractNumId w:val="740046"/>
  </w:num>
  <w:num w:numId="92">
    <w:abstractNumId w:val="740047"/>
  </w:num>
  <w:num w:numId="93">
    <w:abstractNumId w:val="740048"/>
  </w:num>
  <w:num w:numId="94">
    <w:abstractNumId w:val="740049"/>
  </w:num>
  <w:num w:numId="95">
    <w:abstractNumId w:val="740050"/>
  </w:num>
  <w:num w:numId="96">
    <w:abstractNumId w:val="740051"/>
  </w:num>
  <w:num w:numId="97">
    <w:abstractNumId w:val="740052"/>
  </w:num>
  <w:num w:numId="98">
    <w:abstractNumId w:val="740053"/>
  </w:num>
  <w:num w:numId="99">
    <w:abstractNumId w:val="740054"/>
  </w:num>
</w:numbering>
</file>

<file path=word/settings.xml><?xml version="1.0" encoding="utf-8"?>
<w:settings xmlns:w="http://schemas.openxmlformats.org/wordprocessingml/2006/main"/>
</file>

<file path=word/styles.xml><?xml version="1.0" encoding="utf-8"?>
<w:styles xmlns:w="http://schemas.openxmlformats.org/wordprocessingml/2006/main"/>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5.png" Type="http://schemas.openxmlformats.org/officeDocument/2006/relationships/image"/><Relationship Id="rId11" Target="media/image6.jpeg" Type="http://schemas.openxmlformats.org/officeDocument/2006/relationships/image"/><Relationship Id="rId12" Target="media/image7.jpeg" Type="http://schemas.openxmlformats.org/officeDocument/2006/relationships/image"/><Relationship Id="rId13" Target="media/image8.png" Type="http://schemas.openxmlformats.org/officeDocument/2006/relationships/image"/><Relationship Id="rId14" Target="media/image9.jpeg" Type="http://schemas.openxmlformats.org/officeDocument/2006/relationships/image"/><Relationship Id="rId15" Target="media/image10.png" Type="http://schemas.openxmlformats.org/officeDocument/2006/relationships/image"/><Relationship Id="rId16" Target="media/image11.png" Type="http://schemas.openxmlformats.org/officeDocument/2006/relationships/image"/><Relationship Id="rId17" Target="media/image12.png" Type="http://schemas.openxmlformats.org/officeDocument/2006/relationships/image"/><Relationship Id="rId18" Target="media/image13.png" Type="http://schemas.openxmlformats.org/officeDocument/2006/relationships/image"/><Relationship Id="rId19" Target="media/image14.png" Type="http://schemas.openxmlformats.org/officeDocument/2006/relationships/image"/><Relationship Id="rId2" Target="styles.xml" Type="http://schemas.openxmlformats.org/officeDocument/2006/relationships/styles"/><Relationship Id="rId20" Target="media/image15.png" Type="http://schemas.openxmlformats.org/officeDocument/2006/relationships/image"/><Relationship Id="rId21" Target="media/image16.png" Type="http://schemas.openxmlformats.org/officeDocument/2006/relationships/image"/><Relationship Id="rId22" Target="media/image17.png" Type="http://schemas.openxmlformats.org/officeDocument/2006/relationships/image"/><Relationship Id="rId23" Target="media/image18.png" Type="http://schemas.openxmlformats.org/officeDocument/2006/relationships/image"/><Relationship Id="rId24" Target="media/image19.png" Type="http://schemas.openxmlformats.org/officeDocument/2006/relationships/image"/><Relationship Id="rId25" Target="media/image20.jpeg" Type="http://schemas.openxmlformats.org/officeDocument/2006/relationships/image"/><Relationship Id="rId26" Target="media/image21.png" Type="http://schemas.openxmlformats.org/officeDocument/2006/relationships/image"/><Relationship Id="rId27" Target="media/image22.jpeg" Type="http://schemas.openxmlformats.org/officeDocument/2006/relationships/image"/><Relationship Id="rId28" Target="media/image23.png" Type="http://schemas.openxmlformats.org/officeDocument/2006/relationships/image"/><Relationship Id="rId29" Target="media/image24.jpeg" Type="http://schemas.openxmlformats.org/officeDocument/2006/relationships/image"/><Relationship Id="rId3" Target="footer1.xml" Type="http://schemas.openxmlformats.org/officeDocument/2006/relationships/footer"/><Relationship Id="rId30" Target="media/image25.jpeg" Type="http://schemas.openxmlformats.org/officeDocument/2006/relationships/image"/><Relationship Id="rId31" Target="media/image26.png" Type="http://schemas.openxmlformats.org/officeDocument/2006/relationships/image"/><Relationship Id="rId32" Target="media/image27.jpeg" Type="http://schemas.openxmlformats.org/officeDocument/2006/relationships/image"/><Relationship Id="rId33" Target="media/image28.png" Type="http://schemas.openxmlformats.org/officeDocument/2006/relationships/image"/><Relationship Id="rId34" Target="media/image29.png" Type="http://schemas.openxmlformats.org/officeDocument/2006/relationships/image"/><Relationship Id="rId35" Target="media/image30.png" Type="http://schemas.openxmlformats.org/officeDocument/2006/relationships/image"/><Relationship Id="rId36" Target="media/image31.png" Type="http://schemas.openxmlformats.org/officeDocument/2006/relationships/image"/><Relationship Id="rId37" Target="media/image32.jpeg" Type="http://schemas.openxmlformats.org/officeDocument/2006/relationships/image"/><Relationship Id="rId38" Target="https://cx9yp9l2czi.feishu.cn/docx/ACSUdxdkGoT3efxqBIXcWd2CnLY" TargetMode="External" Type="http://schemas.openxmlformats.org/officeDocument/2006/relationships/hyperlink"/><Relationship Id="rId39" Target="media/image33.jpeg" Type="http://schemas.openxmlformats.org/officeDocument/2006/relationships/image"/><Relationship Id="rId4" Target="https://platform.janusedu.cn/" TargetMode="External" Type="http://schemas.openxmlformats.org/officeDocument/2006/relationships/hyperlink"/><Relationship Id="rId40" Target="media/image34.jpeg" Type="http://schemas.openxmlformats.org/officeDocument/2006/relationships/image"/><Relationship Id="rId41" Target="media/image35.png" Type="http://schemas.openxmlformats.org/officeDocument/2006/relationships/image"/><Relationship Id="rId42" Target="media/image36.jpeg" Type="http://schemas.openxmlformats.org/officeDocument/2006/relationships/image"/><Relationship Id="rId43" Target="media/image37.jpeg" Type="http://schemas.openxmlformats.org/officeDocument/2006/relationships/image"/><Relationship Id="rId44" Target="media/image38.jpeg" Type="http://schemas.openxmlformats.org/officeDocument/2006/relationships/image"/><Relationship Id="rId45" Target="media/image39.jpeg" Type="http://schemas.openxmlformats.org/officeDocument/2006/relationships/image"/><Relationship Id="rId46" Target="media/image40.png" Type="http://schemas.openxmlformats.org/officeDocument/2006/relationships/image"/><Relationship Id="rId47" Target="media/image41.png" Type="http://schemas.openxmlformats.org/officeDocument/2006/relationships/image"/><Relationship Id="rId48" Target="media/image42.jpeg" Type="http://schemas.openxmlformats.org/officeDocument/2006/relationships/image"/><Relationship Id="rId49" Target="header1.xml" Type="http://schemas.openxmlformats.org/officeDocument/2006/relationships/header"/><Relationship Id="rId5" Target="numbering.xml" Type="http://schemas.openxmlformats.org/officeDocument/2006/relationships/numbering"/><Relationship Id="rId6" Target="media/image1.jpeg" Type="http://schemas.openxmlformats.org/officeDocument/2006/relationships/image"/><Relationship Id="rId7" Target="media/image2.jpeg" Type="http://schemas.openxmlformats.org/officeDocument/2006/relationships/image"/><Relationship Id="rId8" Target="media/image3.png" Type="http://schemas.openxmlformats.org/officeDocument/2006/relationships/image"/><Relationship Id="rId9" Target="media/image4.jpeg" Type="http://schemas.openxmlformats.org/officeDocument/2006/relationships/image"/></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2026-04-26T09:24:53Z</dcterms:created>
  <dc:creator>Apache POI</dc:creator>
</cp:coreProperties>
</file>