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before="480" w:after="480" w:line="288" w:lineRule="auto"/>
        <w:ind w:left="0"/>
      </w:pPr>
      <w:r>
        <w:rPr>
          <w:rFonts w:eastAsia="等线" w:ascii="Arial" w:cs="Arial" w:hAnsi="Arial"/>
          <w:b w:val="true"/>
          <w:sz w:val="52"/>
        </w:rPr>
        <w:t>简思未来学习中心·校长端服务手册</w:t>
      </w:r>
    </w:p>
    <w:p>
      <w:pPr>
        <w:pStyle w:val="1"/>
        <w:spacing w:before="380" w:after="140" w:line="288" w:lineRule="auto"/>
        <w:ind w:left="0"/>
        <w:jc w:val="left"/>
        <w:outlineLvl w:val="0"/>
      </w:pPr>
      <w:bookmarkStart w:name="heading_0" w:id="0"/>
      <w:r>
        <w:rPr>
          <w:rFonts w:eastAsia="等线" w:ascii="Arial" w:cs="Arial" w:hAnsi="Arial"/>
          <w:b w:val="true"/>
          <w:sz w:val="36"/>
        </w:rPr>
        <w:t>一、文档基础信息</w:t>
      </w:r>
      <w:bookmarkEnd w:id="0"/>
    </w:p>
    <w:p>
      <w:pPr>
        <w:numPr>
          <w:numId w:val="1"/>
        </w:numPr>
        <w:spacing w:before="120" w:after="120" w:line="288" w:lineRule="auto"/>
        <w:ind w:left="0"/>
        <w:jc w:val="left"/>
      </w:pPr>
      <w:r>
        <w:rPr>
          <w:rFonts w:eastAsia="等线" w:ascii="Arial" w:cs="Arial" w:hAnsi="Arial"/>
          <w:b w:val="true"/>
          <w:sz w:val="22"/>
        </w:rPr>
        <w:t>文档版本</w:t>
      </w:r>
      <w:r>
        <w:rPr>
          <w:rFonts w:eastAsia="等线" w:ascii="Arial" w:cs="Arial" w:hAnsi="Arial"/>
          <w:sz w:val="22"/>
        </w:rPr>
        <w:t>：V1.0</w:t>
      </w:r>
    </w:p>
    <w:p>
      <w:pPr>
        <w:numPr>
          <w:numId w:val="2"/>
        </w:numPr>
        <w:spacing w:before="120" w:after="120" w:line="288" w:lineRule="auto"/>
        <w:ind w:left="0"/>
        <w:jc w:val="left"/>
      </w:pPr>
      <w:r>
        <w:rPr>
          <w:rFonts w:eastAsia="等线" w:ascii="Arial" w:cs="Arial" w:hAnsi="Arial"/>
          <w:b w:val="true"/>
          <w:sz w:val="22"/>
        </w:rPr>
        <w:t>修订日期</w:t>
      </w:r>
      <w:r>
        <w:rPr>
          <w:rFonts w:eastAsia="等线" w:ascii="Arial" w:cs="Arial" w:hAnsi="Arial"/>
          <w:sz w:val="22"/>
        </w:rPr>
        <w:t>：2026年4月</w:t>
      </w:r>
    </w:p>
    <w:p>
      <w:pPr>
        <w:numPr>
          <w:numId w:val="3"/>
        </w:numPr>
        <w:spacing w:before="120" w:after="120" w:line="288" w:lineRule="auto"/>
        <w:ind w:left="0"/>
        <w:jc w:val="left"/>
      </w:pPr>
      <w:r>
        <w:rPr>
          <w:rFonts w:eastAsia="等线" w:ascii="Arial" w:cs="Arial" w:hAnsi="Arial"/>
          <w:b w:val="true"/>
          <w:sz w:val="22"/>
        </w:rPr>
        <w:t>适用范围</w:t>
      </w:r>
      <w:r>
        <w:rPr>
          <w:rFonts w:eastAsia="等线" w:ascii="Arial" w:cs="Arial" w:hAnsi="Arial"/>
          <w:sz w:val="22"/>
        </w:rPr>
        <w:t>：简思未来学习中心合作教培机构的校长及授权运营管理人员</w:t>
      </w:r>
    </w:p>
    <w:p>
      <w:pPr>
        <w:numPr>
          <w:numId w:val="4"/>
        </w:numPr>
        <w:spacing w:before="120" w:after="120" w:line="288" w:lineRule="auto"/>
        <w:ind w:left="0"/>
        <w:jc w:val="left"/>
      </w:pPr>
      <w:r>
        <w:rPr>
          <w:rFonts w:eastAsia="等线" w:ascii="Arial" w:cs="Arial" w:hAnsi="Arial"/>
          <w:b w:val="true"/>
          <w:sz w:val="22"/>
        </w:rPr>
        <w:t>核心定位</w:t>
      </w:r>
      <w:r>
        <w:rPr>
          <w:rFonts w:eastAsia="等线" w:ascii="Arial" w:cs="Arial" w:hAnsi="Arial"/>
          <w:sz w:val="22"/>
        </w:rPr>
        <w:t>：本手册帮助校区校长依托简思未来学习中心校长端，实现校区运营全流程精细化管控，规范运营流程、监控核心数据、高效处理运营事务、统筹教学与人员管理，提升校区运营效能与核心竞争力。校长端以"数据可视化、流程规范化、管理高效化"为核心，整合待办审批、运营数据、教务管理、人员管理等核心功能。</w:t>
      </w:r>
    </w:p>
    <w:p>
      <w:pPr>
        <w:pStyle w:val="1"/>
        <w:spacing w:before="380" w:after="140" w:line="288" w:lineRule="auto"/>
        <w:ind w:left="0"/>
        <w:jc w:val="left"/>
        <w:outlineLvl w:val="0"/>
      </w:pPr>
      <w:bookmarkStart w:name="heading_1" w:id="1"/>
      <w:r>
        <w:rPr>
          <w:rFonts w:eastAsia="等线" w:ascii="Arial" w:cs="Arial" w:hAnsi="Arial"/>
          <w:b w:val="true"/>
          <w:sz w:val="36"/>
        </w:rPr>
        <w:t>前言</w:t>
      </w:r>
      <w:bookmarkEnd w:id="1"/>
    </w:p>
    <w:p>
      <w:pPr>
        <w:pStyle w:val="2"/>
        <w:spacing w:before="320" w:after="120" w:line="288" w:lineRule="auto"/>
        <w:ind w:left="0"/>
        <w:jc w:val="left"/>
        <w:outlineLvl w:val="1"/>
      </w:pPr>
      <w:bookmarkStart w:name="heading_2" w:id="2"/>
      <w:r>
        <w:rPr>
          <w:rFonts w:eastAsia="等线" w:ascii="Arial" w:cs="Arial" w:hAnsi="Arial"/>
          <w:b w:val="true"/>
          <w:sz w:val="32"/>
        </w:rPr>
        <w:t>第一节 手册目的</w:t>
      </w:r>
      <w:bookmarkEnd w:id="2"/>
    </w:p>
    <w:p>
      <w:pPr>
        <w:spacing w:before="120" w:after="120" w:line="288" w:lineRule="auto"/>
        <w:ind w:left="0"/>
        <w:jc w:val="left"/>
      </w:pPr>
      <w:r>
        <w:rPr>
          <w:rFonts w:eastAsia="等线" w:ascii="Arial" w:cs="Arial" w:hAnsi="Arial"/>
          <w:sz w:val="22"/>
        </w:rPr>
        <w:t>为帮助校区校长依托简思未来学习中心校长端，实现校区运营全流程精细化管控，规范运营流程、监控核心数据、高效处理运营事务、统筹教学与人员管理，提升校区运营效能与核心竞争力，特制定本手册。本手册聚焦校长运营管理核心需求，涵盖账号登录、核心运营功能、数据解读、流程规范、常见问题等内容，为校长提供全面、可落地的运营指引。</w:t>
      </w:r>
    </w:p>
    <w:p>
      <w:pPr>
        <w:pStyle w:val="2"/>
        <w:spacing w:before="320" w:after="120" w:line="288" w:lineRule="auto"/>
        <w:ind w:left="0"/>
        <w:jc w:val="left"/>
        <w:outlineLvl w:val="1"/>
      </w:pPr>
      <w:bookmarkStart w:name="heading_3" w:id="3"/>
      <w:r>
        <w:rPr>
          <w:rFonts w:eastAsia="等线" w:ascii="Arial" w:cs="Arial" w:hAnsi="Arial"/>
          <w:b w:val="true"/>
          <w:sz w:val="32"/>
        </w:rPr>
        <w:t>第二节 适用范围</w:t>
      </w:r>
      <w:bookmarkEnd w:id="3"/>
    </w:p>
    <w:p>
      <w:pPr>
        <w:spacing w:before="120" w:after="120" w:line="288" w:lineRule="auto"/>
        <w:ind w:left="0"/>
        <w:jc w:val="left"/>
      </w:pPr>
      <w:r>
        <w:rPr>
          <w:rFonts w:eastAsia="等线" w:ascii="Arial" w:cs="Arial" w:hAnsi="Arial"/>
          <w:sz w:val="22"/>
        </w:rPr>
        <w:t>本手册适用于简思未来学习中心合作教培机构的校长及授权运营管理人员，用于指导其通过校长端服务号+小程序，开展校区日常运营、数据监控、人员管理、教学统筹等相关工作，实现校区合规、高效、可持续运营。</w:t>
      </w:r>
    </w:p>
    <w:p>
      <w:pPr>
        <w:pStyle w:val="2"/>
        <w:spacing w:before="320" w:after="120" w:line="288" w:lineRule="auto"/>
        <w:ind w:left="0"/>
        <w:jc w:val="left"/>
        <w:outlineLvl w:val="1"/>
      </w:pPr>
      <w:bookmarkStart w:name="heading_4" w:id="4"/>
      <w:r>
        <w:rPr>
          <w:rFonts w:eastAsia="等线" w:ascii="Arial" w:cs="Arial" w:hAnsi="Arial"/>
          <w:b w:val="true"/>
          <w:sz w:val="32"/>
        </w:rPr>
        <w:t>第三节 核心定位</w:t>
      </w:r>
      <w:bookmarkEnd w:id="4"/>
    </w:p>
    <w:p>
      <w:pPr>
        <w:spacing w:before="120" w:after="120" w:line="288" w:lineRule="auto"/>
        <w:ind w:left="0"/>
        <w:jc w:val="left"/>
      </w:pPr>
      <w:r>
        <w:rPr>
          <w:rFonts w:eastAsia="等线" w:ascii="Arial" w:cs="Arial" w:hAnsi="Arial"/>
          <w:sz w:val="22"/>
        </w:rPr>
        <w:t>简思未来学习中心校长端是校区运营管理的核心工具，以“数据可视化、流程规范化、管理高效化”为核心，整合待办审批、运营数据、教务管理、人员管理等核心功能，助力校长精准把控校区运营状况，快速决策、高效执行，推动校区业绩增长与教学质量提升。</w:t>
      </w:r>
    </w:p>
    <w:p>
      <w:pPr>
        <w:pStyle w:val="1"/>
        <w:spacing w:before="380" w:after="140" w:line="288" w:lineRule="auto"/>
        <w:ind w:left="0"/>
        <w:jc w:val="left"/>
        <w:outlineLvl w:val="0"/>
      </w:pPr>
      <w:bookmarkStart w:name="heading_5" w:id="5"/>
      <w:r>
        <w:rPr>
          <w:rFonts w:eastAsia="等线" w:ascii="Arial" w:cs="Arial" w:hAnsi="Arial"/>
          <w:b w:val="true"/>
          <w:sz w:val="36"/>
        </w:rPr>
        <w:t>二、校长端登录与账号管理</w:t>
      </w:r>
      <w:bookmarkEnd w:id="5"/>
    </w:p>
    <w:p>
      <w:pPr>
        <w:pStyle w:val="2"/>
        <w:spacing w:before="320" w:after="120" w:line="288" w:lineRule="auto"/>
        <w:ind w:left="0"/>
        <w:jc w:val="left"/>
        <w:outlineLvl w:val="1"/>
      </w:pPr>
      <w:bookmarkStart w:name="heading_6" w:id="6"/>
      <w:r>
        <w:rPr>
          <w:rFonts w:eastAsia="等线" w:ascii="Arial" w:cs="Arial" w:hAnsi="Arial"/>
          <w:b w:val="true"/>
          <w:sz w:val="32"/>
        </w:rPr>
        <w:t>第一节 登录流程（服务号+小程序）</w:t>
      </w:r>
      <w:bookmarkEnd w:id="6"/>
    </w:p>
    <w:p>
      <w:pPr>
        <w:numPr>
          <w:numId w:val="5"/>
        </w:numPr>
        <w:spacing w:before="120" w:after="120" w:line="288" w:lineRule="auto"/>
        <w:ind w:left="0"/>
        <w:jc w:val="left"/>
      </w:pPr>
      <w:r>
        <w:rPr>
          <w:rFonts w:eastAsia="等线" w:ascii="Arial" w:cs="Arial" w:hAnsi="Arial"/>
          <w:sz w:val="22"/>
        </w:rPr>
        <w:t>关注服务号：打开微信搜索“简思信息”官方服务号（可联系简思未来学习中心对接人获取准确名称），点击“关注”，服务号将推送小程序入口及登录指引；若未推送，可手动搜索小程序进入。</w:t>
      </w:r>
    </w:p>
    <w:p>
      <w:pPr>
        <w:numPr>
          <w:numId w:val="6"/>
        </w:numPr>
        <w:spacing w:before="120" w:after="120" w:line="288" w:lineRule="auto"/>
        <w:ind w:left="0"/>
        <w:jc w:val="left"/>
      </w:pPr>
      <w:r>
        <w:rPr>
          <w:rFonts w:eastAsia="等线" w:ascii="Arial" w:cs="Arial" w:hAnsi="Arial"/>
          <w:sz w:val="22"/>
        </w:rPr>
        <w:t>进入小程序：方式一，通过服务号底部菜单栏校长端直接进入；方式二，微信搜索“简思信息”小程序，点击进入（需提前关注服务号，确保正常登录）。</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344"/>
        <w:gridCol w:w="3935"/>
      </w:tblGrid>
      <w:tr>
        <w:tc>
          <w:tcPr>
            <w:tcW w:w="4344" w:type="dxa"/>
            <w:tcMar>
              <w:top w:type="dxa" w:w="60"/>
              <w:left w:type="dxa" w:w="120"/>
              <w:bottom w:type="dxa" w:w="30"/>
              <w:right w:type="dxa" w:w="120"/>
            </w:tcMar>
          </w:tcPr>
          <w:p>
            <w:pPr>
              <w:spacing w:before="120" w:after="120" w:line="288" w:lineRule="auto"/>
              <w:ind w:left="0"/>
              <w:jc w:val="center"/>
            </w:pPr>
            <w:r>
              <w:drawing>
                <wp:inline distT="0" distR="0" distB="0" distL="0">
                  <wp:extent cx="2600325" cy="523875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5"/>
                          <a:stretch>
                            <a:fillRect/>
                          </a:stretch>
                        </pic:blipFill>
                        <pic:spPr>
                          <a:xfrm>
                            <a:off x="0" y="0"/>
                            <a:ext cx="2600325" cy="5238750"/>
                          </a:xfrm>
                          <a:prstGeom prst="rect">
                            <a:avLst/>
                          </a:prstGeom>
                        </pic:spPr>
                      </pic:pic>
                    </a:graphicData>
                  </a:graphic>
                </wp:inline>
              </w:drawing>
            </w:r>
          </w:p>
        </w:tc>
        <w:tc>
          <w:tcPr>
            <w:tcW w:w="3935" w:type="dxa"/>
            <w:tcMar>
              <w:top w:type="dxa" w:w="60"/>
              <w:left w:type="dxa" w:w="120"/>
              <w:bottom w:type="dxa" w:w="30"/>
              <w:right w:type="dxa" w:w="120"/>
            </w:tcMar>
          </w:tcPr>
          <w:p>
            <w:pPr>
              <w:spacing w:before="120" w:after="120" w:line="288" w:lineRule="auto"/>
              <w:ind w:left="0"/>
              <w:jc w:val="center"/>
            </w:pPr>
            <w:r>
              <w:drawing>
                <wp:inline distT="0" distR="0" distB="0" distL="0">
                  <wp:extent cx="2343150" cy="5210175"/>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6"/>
                          <a:stretch>
                            <a:fillRect/>
                          </a:stretch>
                        </pic:blipFill>
                        <pic:spPr>
                          <a:xfrm>
                            <a:off x="0" y="0"/>
                            <a:ext cx="2343150" cy="5210175"/>
                          </a:xfrm>
                          <a:prstGeom prst="rect">
                            <a:avLst/>
                          </a:prstGeom>
                        </pic:spPr>
                      </pic:pic>
                    </a:graphicData>
                  </a:graphic>
                </wp:inline>
              </w:drawing>
            </w:r>
          </w:p>
        </w:tc>
      </w:tr>
    </w:tbl>
    <w:p>
      <w:pPr>
        <w:numPr>
          <w:numId w:val="7"/>
        </w:numPr>
        <w:spacing w:before="120" w:after="120" w:line="288" w:lineRule="auto"/>
        <w:ind w:left="0"/>
        <w:jc w:val="left"/>
      </w:pPr>
      <w:r>
        <w:rPr>
          <w:rFonts w:eastAsia="等线" w:ascii="Arial" w:cs="Arial" w:hAnsi="Arial"/>
          <w:sz w:val="22"/>
        </w:rPr>
        <w:t>账号登录：输入专属登录账号（校长手机号）及密码，点击“登录”；忘记密码可通过预留手机号找回，或联系简思未来学习中心对接人重置。默认密码为手机号后六位，登录后可进行密码修改。</w:t>
      </w:r>
    </w:p>
    <w:p>
      <w:pPr>
        <w:spacing w:before="120" w:after="120" w:line="288" w:lineRule="auto"/>
        <w:ind w:left="0"/>
        <w:jc w:val="center"/>
      </w:pPr>
      <w:r>
        <w:drawing>
          <wp:inline distT="0" distR="0" distB="0" distL="0">
            <wp:extent cx="3048000" cy="6581775"/>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7"/>
                    <a:stretch>
                      <a:fillRect/>
                    </a:stretch>
                  </pic:blipFill>
                  <pic:spPr>
                    <a:xfrm>
                      <a:off x="0" y="0"/>
                      <a:ext cx="3048000" cy="6581775"/>
                    </a:xfrm>
                    <a:prstGeom prst="rect">
                      <a:avLst/>
                    </a:prstGeom>
                  </pic:spPr>
                </pic:pic>
              </a:graphicData>
            </a:graphic>
          </wp:inline>
        </w:drawing>
      </w:r>
    </w:p>
    <w:p>
      <w:pPr>
        <w:pStyle w:val="2"/>
        <w:spacing w:before="320" w:after="120" w:line="288" w:lineRule="auto"/>
        <w:ind w:left="0"/>
        <w:jc w:val="left"/>
        <w:outlineLvl w:val="1"/>
      </w:pPr>
      <w:bookmarkStart w:name="heading_7" w:id="7"/>
      <w:r>
        <w:rPr>
          <w:rFonts w:eastAsia="等线" w:ascii="Arial" w:cs="Arial" w:hAnsi="Arial"/>
          <w:b w:val="true"/>
          <w:sz w:val="32"/>
        </w:rPr>
        <w:t>第二节 账号管理规范</w:t>
      </w:r>
      <w:bookmarkEnd w:id="7"/>
    </w:p>
    <w:p>
      <w:pPr>
        <w:numPr>
          <w:numId w:val="8"/>
        </w:numPr>
        <w:spacing w:before="120" w:after="120" w:line="288" w:lineRule="auto"/>
        <w:ind w:left="0"/>
        <w:jc w:val="left"/>
      </w:pPr>
      <w:r>
        <w:rPr>
          <w:rFonts w:eastAsia="等线" w:ascii="Arial" w:cs="Arial" w:hAnsi="Arial"/>
          <w:sz w:val="22"/>
        </w:rPr>
        <w:t>账号权限：校长端账号为校区最高管理权限，严禁转借他人使用，严禁泄露账号密码，避免核心数据泄露。</w:t>
      </w:r>
    </w:p>
    <w:p>
      <w:pPr>
        <w:numPr>
          <w:numId w:val="9"/>
        </w:numPr>
        <w:spacing w:before="120" w:after="120" w:line="288" w:lineRule="auto"/>
        <w:ind w:left="0"/>
        <w:jc w:val="left"/>
      </w:pPr>
      <w:r>
        <w:rPr>
          <w:rFonts w:eastAsia="等线" w:ascii="Arial" w:cs="Arial" w:hAnsi="Arial"/>
          <w:sz w:val="22"/>
        </w:rPr>
        <w:t>密码维护：建议登录后修改一次密码，密码需包含字母、数字，提升账号安全性；若出现异常登录，立即退出账号、修改密码，并联系对接人核实。</w:t>
      </w:r>
    </w:p>
    <w:p>
      <w:pPr>
        <w:numPr>
          <w:numId w:val="10"/>
        </w:numPr>
        <w:spacing w:before="120" w:after="120" w:line="288" w:lineRule="auto"/>
        <w:ind w:left="0"/>
        <w:jc w:val="left"/>
      </w:pPr>
      <w:r>
        <w:rPr>
          <w:rFonts w:eastAsia="等线" w:ascii="Arial" w:cs="Arial" w:hAnsi="Arial"/>
          <w:sz w:val="22"/>
        </w:rPr>
        <w:t>信息同步：登录后系统自动绑定校区信息，若校区信息变更，需及时联系对接人更新，确保数据同步准确。</w:t>
      </w:r>
    </w:p>
    <w:p>
      <w:pPr>
        <w:pStyle w:val="1"/>
        <w:spacing w:before="380" w:after="140" w:line="288" w:lineRule="auto"/>
        <w:ind w:left="0"/>
        <w:jc w:val="left"/>
        <w:outlineLvl w:val="0"/>
      </w:pPr>
      <w:bookmarkStart w:name="heading_8" w:id="8"/>
      <w:r>
        <w:rPr>
          <w:rFonts w:eastAsia="等线" w:ascii="Arial" w:cs="Arial" w:hAnsi="Arial"/>
          <w:b w:val="true"/>
          <w:sz w:val="36"/>
        </w:rPr>
        <w:t>三、核心运营功能实操</w:t>
      </w:r>
      <w:bookmarkEnd w:id="8"/>
    </w:p>
    <w:p>
      <w:pPr>
        <w:spacing w:before="120" w:after="120" w:line="288" w:lineRule="auto"/>
        <w:ind w:left="0"/>
        <w:jc w:val="left"/>
      </w:pPr>
      <w:r>
        <w:rPr>
          <w:rFonts w:eastAsia="等线" w:ascii="Arial" w:cs="Arial" w:hAnsi="Arial"/>
          <w:sz w:val="22"/>
        </w:rPr>
        <w:t>校长端底部设四大导航栏（首页、通讯录、消息、我的），其中“首页”为运营核心入口，整合所有关键运营功能，以下按运营优先级，详细说明各功能实操及运营要点。</w:t>
      </w:r>
    </w:p>
    <w:p>
      <w:pPr>
        <w:pStyle w:val="2"/>
        <w:spacing w:before="320" w:after="120" w:line="288" w:lineRule="auto"/>
        <w:ind w:left="0"/>
        <w:jc w:val="left"/>
        <w:outlineLvl w:val="1"/>
      </w:pPr>
      <w:bookmarkStart w:name="heading_9" w:id="9"/>
      <w:r>
        <w:rPr>
          <w:rFonts w:eastAsia="等线" w:ascii="Arial" w:cs="Arial" w:hAnsi="Arial"/>
          <w:b w:val="true"/>
          <w:sz w:val="32"/>
        </w:rPr>
        <w:t>第一节 首页：核心运营管控中心</w:t>
      </w:r>
      <w:bookmarkEnd w:id="9"/>
    </w:p>
    <w:p>
      <w:pPr>
        <w:pStyle w:val="3"/>
        <w:spacing w:before="300" w:after="120" w:line="288" w:lineRule="auto"/>
        <w:ind w:left="0"/>
        <w:jc w:val="left"/>
        <w:outlineLvl w:val="2"/>
      </w:pPr>
      <w:bookmarkStart w:name="heading_10" w:id="10"/>
      <w:r>
        <w:rPr>
          <w:rFonts w:eastAsia="等线" w:ascii="Arial" w:cs="Arial" w:hAnsi="Arial"/>
          <w:b w:val="true"/>
          <w:sz w:val="30"/>
        </w:rPr>
        <w:t>（一） 待办事项</w:t>
      </w:r>
      <w:bookmarkEnd w:id="10"/>
    </w:p>
    <w:p>
      <w:pPr>
        <w:spacing w:before="120" w:after="120" w:line="288" w:lineRule="auto"/>
        <w:ind w:left="0"/>
        <w:jc w:val="left"/>
      </w:pPr>
      <w:r>
        <w:rPr>
          <w:rFonts w:eastAsia="等线" w:ascii="Arial" w:cs="Arial" w:hAnsi="Arial"/>
          <w:sz w:val="22"/>
        </w:rPr>
        <w:t>入口：首页顶部显著位置，实时显示待处理事项数量，核心覆盖3类紧急事项，直接影响校区运营秩序，需每日优先处理：</w:t>
      </w:r>
    </w:p>
    <w:p>
      <w:pPr>
        <w:spacing w:before="120" w:after="120" w:line="288" w:lineRule="auto"/>
        <w:ind w:left="0"/>
        <w:jc w:val="center"/>
      </w:pPr>
      <w:r>
        <w:drawing>
          <wp:inline distT="0" distR="0" distB="0" distL="0">
            <wp:extent cx="3257550" cy="72390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
                    <a:stretch>
                      <a:fillRect/>
                    </a:stretch>
                  </pic:blipFill>
                  <pic:spPr>
                    <a:xfrm>
                      <a:off x="0" y="0"/>
                      <a:ext cx="3257550" cy="7239000"/>
                    </a:xfrm>
                    <a:prstGeom prst="rect">
                      <a:avLst/>
                    </a:prstGeom>
                  </pic:spPr>
                </pic:pic>
              </a:graphicData>
            </a:graphic>
          </wp:inline>
        </w:drawing>
      </w:r>
    </w:p>
    <w:p>
      <w:pPr>
        <w:numPr>
          <w:numId w:val="11"/>
        </w:numPr>
        <w:spacing w:before="120" w:after="120" w:line="288" w:lineRule="auto"/>
        <w:ind w:left="0"/>
        <w:jc w:val="left"/>
      </w:pPr>
      <w:r>
        <w:rPr>
          <w:rFonts w:eastAsia="等线" w:ascii="Arial" w:cs="Arial" w:hAnsi="Arial"/>
          <w:sz w:val="22"/>
        </w:rPr>
        <w:t>待续费：查看即将到期需续费的学员名单，运营要点：每日梳理待续费学员，督促咨询师跟进，提升续班率，减少学员流失。</w:t>
      </w:r>
    </w:p>
    <w:p>
      <w:pPr>
        <w:numPr>
          <w:numId w:val="12"/>
        </w:numPr>
        <w:spacing w:before="120" w:after="120" w:line="288" w:lineRule="auto"/>
        <w:ind w:left="0"/>
        <w:jc w:val="left"/>
      </w:pPr>
      <w:r>
        <w:rPr>
          <w:rFonts w:eastAsia="等线" w:ascii="Arial" w:cs="Arial" w:hAnsi="Arial"/>
          <w:sz w:val="22"/>
        </w:rPr>
        <w:t>异常考勤：查看当日/近期学员旷课、迟到、早退等异常情况，运营要点：及时联系学管师、家长核实原因，妥善处理，规范教学秩序，提升学员出勤率。</w:t>
      </w:r>
    </w:p>
    <w:p>
      <w:pPr>
        <w:numPr>
          <w:numId w:val="13"/>
        </w:numPr>
        <w:spacing w:before="120" w:after="120" w:line="288" w:lineRule="auto"/>
        <w:ind w:left="0"/>
        <w:jc w:val="left"/>
      </w:pPr>
      <w:r>
        <w:rPr>
          <w:rFonts w:eastAsia="等线" w:ascii="Arial" w:cs="Arial" w:hAnsi="Arial"/>
          <w:sz w:val="22"/>
        </w:rPr>
        <w:t>退费审批：查看需校长审批的退费申请，运营要点：严格核对退费条件，审核通过/驳回后，确保结果同步至相关人员及家长，规范退费流程，规避财务风险。</w:t>
      </w:r>
    </w:p>
    <w:p>
      <w:pPr>
        <w:spacing w:before="120" w:after="120" w:line="288" w:lineRule="auto"/>
        <w:ind w:left="0"/>
        <w:jc w:val="left"/>
      </w:pPr>
      <w:r>
        <w:rPr>
          <w:rFonts w:eastAsia="等线" w:ascii="Arial" w:cs="Arial" w:hAnsi="Arial"/>
          <w:sz w:val="22"/>
        </w:rPr>
        <w:t>运营提示：待办事项实时更新，处理完成后自动移除，建议每日登录后先处理待办，避免延误运营事务。</w:t>
      </w:r>
    </w:p>
    <w:p>
      <w:pPr>
        <w:pStyle w:val="3"/>
        <w:spacing w:before="300" w:after="120" w:line="288" w:lineRule="auto"/>
        <w:ind w:left="0"/>
        <w:jc w:val="left"/>
        <w:outlineLvl w:val="2"/>
      </w:pPr>
      <w:bookmarkStart w:name="heading_11" w:id="11"/>
      <w:r>
        <w:rPr>
          <w:rFonts w:eastAsia="等线" w:ascii="Arial" w:cs="Arial" w:hAnsi="Arial"/>
          <w:b w:val="true"/>
          <w:sz w:val="30"/>
        </w:rPr>
        <w:t>（二） 运营数据监控</w:t>
      </w:r>
      <w:bookmarkEnd w:id="11"/>
    </w:p>
    <w:p>
      <w:pPr>
        <w:spacing w:before="120" w:after="120" w:line="288" w:lineRule="auto"/>
        <w:ind w:left="0"/>
        <w:jc w:val="left"/>
      </w:pPr>
      <w:r>
        <w:rPr>
          <w:rFonts w:eastAsia="等线" w:ascii="Arial" w:cs="Arial" w:hAnsi="Arial"/>
          <w:sz w:val="22"/>
        </w:rPr>
        <w:t>聚焦“日报+月报+实时统计”，实现校区运营数据全维度监控，为运营决策提供精准支撑，核心数据解读及运营要点如下：</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9"/>
                          <a:stretch>
                            <a:fillRect/>
                          </a:stretch>
                        </pic:blipFill>
                        <pic:spPr>
                          <a:xfrm>
                            <a:off x="0" y="0"/>
                            <a:ext cx="2476500" cy="55054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0"/>
                          <a:stretch>
                            <a:fillRect/>
                          </a:stretch>
                        </pic:blipFill>
                        <pic:spPr>
                          <a:xfrm>
                            <a:off x="0" y="0"/>
                            <a:ext cx="2476500" cy="5505450"/>
                          </a:xfrm>
                          <a:prstGeom prst="rect">
                            <a:avLst/>
                          </a:prstGeom>
                        </pic:spPr>
                      </pic:pic>
                    </a:graphicData>
                  </a:graphic>
                </wp:inline>
              </w:drawing>
            </w:r>
          </w:p>
        </w:tc>
      </w:tr>
    </w:tbl>
    <w:p>
      <w:pPr>
        <w:numPr>
          <w:numId w:val="14"/>
        </w:numPr>
        <w:spacing w:before="120" w:after="120" w:line="288" w:lineRule="auto"/>
        <w:ind w:left="0"/>
        <w:jc w:val="left"/>
      </w:pPr>
      <w:r>
        <w:rPr>
          <w:rFonts w:eastAsia="等线" w:ascii="Arial" w:cs="Arial" w:hAnsi="Arial"/>
          <w:sz w:val="22"/>
        </w:rPr>
        <w:t>运营日报：聚焦当日报名、退费核心数据（今日报名/退费人数、净报名人数、明细、课程类型/退费原因统计），运营要点：每日查看，分析当日招生与退费异常，及时排查问题。运营日报每日系统自动推送至校长端。</w:t>
      </w:r>
    </w:p>
    <w:p>
      <w:pPr>
        <w:numPr>
          <w:numId w:val="15"/>
        </w:numPr>
        <w:spacing w:before="120" w:after="120" w:line="288" w:lineRule="auto"/>
        <w:ind w:left="0"/>
        <w:jc w:val="left"/>
      </w:pPr>
      <w:r>
        <w:rPr>
          <w:rFonts w:eastAsia="等线" w:ascii="Arial" w:cs="Arial" w:hAnsi="Arial"/>
          <w:sz w:val="22"/>
        </w:rPr>
        <w:t>运营月报：以“学校健康指数”为核心，涵盖五大维度十大指标，是校区运营健康度的核心判断依据。运营月报每月系统自动推送至校长端。具体解读如下：</w:t>
      </w:r>
    </w:p>
    <w:p>
      <w:pPr>
        <w:numPr>
          <w:numId w:val="16"/>
        </w:numPr>
        <w:spacing w:before="120" w:after="120" w:line="288" w:lineRule="auto"/>
        <w:ind w:left="453"/>
        <w:jc w:val="left"/>
      </w:pPr>
      <w:r>
        <w:rPr>
          <w:rFonts w:eastAsia="等线" w:ascii="Arial" w:cs="Arial" w:hAnsi="Arial"/>
          <w:sz w:val="22"/>
        </w:rPr>
        <w:t>财务健康（核心指标）：课消率和预售结余率是预付费模式财务健康的核心指标，两者共同反映业务的现金流质量与盈利真实性，课消率聚焦 “收入兑现”，预售结余率聚焦 “资金安全”。健康的学校运营，需要 “高课消率 + 合理预售结余率”：比如课消率 80% 以上，结余率 30%-40%。</w:t>
      </w:r>
    </w:p>
    <w:p>
      <w:pPr>
        <w:numPr>
          <w:numId w:val="17"/>
        </w:numPr>
        <w:spacing w:before="120" w:after="120" w:line="288" w:lineRule="auto"/>
        <w:ind w:left="453"/>
        <w:jc w:val="left"/>
      </w:pPr>
      <w:r>
        <w:rPr>
          <w:rFonts w:eastAsia="等线" w:ascii="Arial" w:cs="Arial" w:hAnsi="Arial"/>
          <w:sz w:val="22"/>
        </w:rPr>
        <w:t>学员黏性（留存核心）：续费率和退费率呈反向关联：续费率越高，退费率通常越低，反之亦然，共同构成 “生源留存闭环”。对学校而言，“高续费率 + 低退费率” 是健康状态：既保证生源稳定，减少招生依赖，又能通过口碑积累降低获客成本；若只追新招而忽视留存，会陷入 “招 100 人退 50 人” 的恶性循环，运营成本居高不下。</w:t>
      </w:r>
    </w:p>
    <w:p>
      <w:pPr>
        <w:numPr>
          <w:numId w:val="18"/>
        </w:numPr>
        <w:spacing w:before="120" w:after="120" w:line="288" w:lineRule="auto"/>
        <w:ind w:left="453"/>
        <w:jc w:val="left"/>
      </w:pPr>
      <w:r>
        <w:rPr>
          <w:rFonts w:eastAsia="等线" w:ascii="Arial" w:cs="Arial" w:hAnsi="Arial"/>
          <w:sz w:val="22"/>
        </w:rPr>
        <w:t>教学成效（核心竞争力）：到课率是答题正确率的 “基础”：只有学生持续到课，才能跟上教学进度、吸收知识点，正确率才有提升的可能；反之，频繁缺课会导致知识脱节，再优质的教学也难提升正确率。答题正确率是到课率的 “催化剂”：学生答题正确率高，能获得成就感，会更愿意主动到课；反之，长期正确率低会让学生产生挫败感，进而逃避上课，形成 “低到课→ 低正确率” 的恶性循环。与运营指标深度绑定：高到课率能带动课消率提升，高正确率能支撑续费率、降低退费率，两者共同构成 “教学成效 → 运营健康” 的正向闭环；若任一指标表现不佳，都会从源头影响学校的长期发展。</w:t>
      </w:r>
    </w:p>
    <w:p>
      <w:pPr>
        <w:numPr>
          <w:numId w:val="19"/>
        </w:numPr>
        <w:spacing w:before="120" w:after="120" w:line="288" w:lineRule="auto"/>
        <w:ind w:left="453"/>
        <w:jc w:val="left"/>
      </w:pPr>
      <w:r>
        <w:rPr>
          <w:rFonts w:eastAsia="等线" w:ascii="Arial" w:cs="Arial" w:hAnsi="Arial"/>
          <w:sz w:val="22"/>
        </w:rPr>
        <w:t>运营效能（效率核心）：健康的运营状态需要 “高人效 + 高坪效”：比如通过 “大班授课 + 分层辅导” 平衡坪效与人效，或通过 “行政一人多岗” 提升管理岗人效，减少冗余成本。与核心指标深度绑定：高人效能支撑高课消率（学管师授课足、产出高），高坪效能降低单生场地成本，两者共同提升 “课消利润”，进而支撑续费率（成本可控才能投入更多教学服务）。</w:t>
      </w:r>
    </w:p>
    <w:p>
      <w:pPr>
        <w:numPr>
          <w:numId w:val="20"/>
        </w:numPr>
        <w:spacing w:before="120" w:after="120" w:line="288" w:lineRule="auto"/>
        <w:ind w:left="453"/>
        <w:jc w:val="left"/>
      </w:pPr>
      <w:r>
        <w:rPr>
          <w:rFonts w:eastAsia="等线" w:ascii="Arial" w:cs="Arial" w:hAnsi="Arial"/>
          <w:sz w:val="22"/>
        </w:rPr>
        <w:t>增长动能（招生核心）：满班率是新生率的 “承接基础”：只有合理控制满班率（不超员、不闲置），才能腾出名额接收新生，同时高满班率带来的优质课堂氛围，还能提升新生报名意愿（家长更愿意选 “人气旺” 的班级）。新生率是满班率的 “补充动力”：新生能填补老生毕业、转学留下的空缺，维持班级满班状态，避免场地、师资闲置，进而提升人效和坪效。与核心指标深度绑定：新生率支撑课消总额增长（更多学生参与课消），满班率优化成本结构，两者共同推动 “规模扩张 + 利润提升”；若只追新生率不抓满班率，会出现 “招得多、闲置多” 的浪费；只抓满班率不拓新生率，长期会因生源自然流失陷入增长停滞。</w:t>
      </w:r>
    </w:p>
    <w:p>
      <w:pPr>
        <w:spacing w:before="120" w:after="120" w:line="288" w:lineRule="auto"/>
        <w:ind w:left="0"/>
        <w:jc w:val="left"/>
      </w:pPr>
      <w:r>
        <w:rPr>
          <w:rFonts w:eastAsia="等线" w:ascii="Arial" w:cs="Arial" w:hAnsi="Arial"/>
          <w:sz w:val="22"/>
        </w:rPr>
        <w:t>运营提示：每月结合运营月报，召开校区运营会议，分析短板指标，制定针对性优化方案，形成“数据-分析-决策-执行-复盘”的闭环。</w:t>
      </w:r>
    </w:p>
    <w:p>
      <w:pPr>
        <w:pStyle w:val="3"/>
        <w:spacing w:before="300" w:after="120" w:line="288" w:lineRule="auto"/>
        <w:ind w:left="0"/>
        <w:jc w:val="left"/>
        <w:outlineLvl w:val="2"/>
      </w:pPr>
      <w:bookmarkStart w:name="heading_12" w:id="12"/>
      <w:r>
        <w:rPr>
          <w:rFonts w:eastAsia="等线" w:ascii="Arial" w:cs="Arial" w:hAnsi="Arial"/>
          <w:b w:val="true"/>
          <w:sz w:val="30"/>
        </w:rPr>
        <w:t>（三） 管理控制台</w:t>
      </w:r>
      <w:bookmarkEnd w:id="12"/>
    </w:p>
    <w:p>
      <w:pPr>
        <w:spacing w:before="120" w:after="120" w:line="288" w:lineRule="auto"/>
        <w:ind w:left="0"/>
        <w:jc w:val="left"/>
      </w:pPr>
      <w:r>
        <w:rPr>
          <w:rFonts w:eastAsia="等线" w:ascii="Arial" w:cs="Arial" w:hAnsi="Arial"/>
          <w:sz w:val="22"/>
        </w:rPr>
        <w:t>入口：首页“管理控制台”，核心用于校区人员、家校、教务的统筹管理，运营要点如下：</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2707"/>
        <w:gridCol w:w="2786"/>
        <w:gridCol w:w="2786"/>
      </w:tblGrid>
      <w:tr>
        <w:tc>
          <w:tcPr>
            <w:tcW w:w="2707" w:type="dxa"/>
            <w:tcMar>
              <w:top w:type="dxa" w:w="60"/>
              <w:left w:type="dxa" w:w="120"/>
              <w:bottom w:type="dxa" w:w="30"/>
              <w:right w:type="dxa" w:w="120"/>
            </w:tcMar>
          </w:tcPr>
          <w:p>
            <w:pPr>
              <w:spacing w:before="120" w:after="120" w:line="288" w:lineRule="auto"/>
              <w:ind w:left="0"/>
              <w:jc w:val="center"/>
            </w:pPr>
            <w:r>
              <w:drawing>
                <wp:inline distT="0" distR="0" distB="0" distL="0">
                  <wp:extent cx="1562100" cy="3476625"/>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1"/>
                          <a:stretch>
                            <a:fillRect/>
                          </a:stretch>
                        </pic:blipFill>
                        <pic:spPr>
                          <a:xfrm>
                            <a:off x="0" y="0"/>
                            <a:ext cx="1562100" cy="34766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微信校长端首页点击组织架构</w:t>
              <w:br/>
            </w:r>
          </w:p>
        </w:tc>
        <w:tc>
          <w:tcPr>
            <w:tcW w:w="2786" w:type="dxa"/>
            <w:tcMar>
              <w:top w:type="dxa" w:w="60"/>
              <w:left w:type="dxa" w:w="120"/>
              <w:bottom w:type="dxa" w:w="30"/>
              <w:right w:type="dxa" w:w="120"/>
            </w:tcMar>
          </w:tcPr>
          <w:p>
            <w:pPr>
              <w:spacing w:before="120" w:after="120" w:line="288" w:lineRule="auto"/>
              <w:ind w:left="0"/>
              <w:jc w:val="center"/>
            </w:pPr>
            <w:r>
              <w:drawing>
                <wp:inline distT="0" distR="0" distB="0" distL="0">
                  <wp:extent cx="1609725" cy="348615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2"/>
                          <a:stretch>
                            <a:fillRect/>
                          </a:stretch>
                        </pic:blipFill>
                        <pic:spPr>
                          <a:xfrm>
                            <a:off x="0" y="0"/>
                            <a:ext cx="1609725" cy="34861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即可进行组织架构管理</w:t>
              <w:br/>
            </w:r>
          </w:p>
        </w:tc>
        <w:tc>
          <w:tcPr>
            <w:tcW w:w="2786" w:type="dxa"/>
            <w:tcMar>
              <w:top w:type="dxa" w:w="60"/>
              <w:left w:type="dxa" w:w="120"/>
              <w:bottom w:type="dxa" w:w="30"/>
              <w:right w:type="dxa" w:w="120"/>
            </w:tcMar>
          </w:tcPr>
          <w:p>
            <w:pPr>
              <w:spacing w:before="120" w:after="120" w:line="288" w:lineRule="auto"/>
              <w:ind w:left="0"/>
              <w:jc w:val="center"/>
            </w:pPr>
            <w:r>
              <w:drawing>
                <wp:inline distT="0" distR="0" distB="0" distL="0">
                  <wp:extent cx="1609725" cy="348615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3"/>
                          <a:stretch>
                            <a:fillRect/>
                          </a:stretch>
                        </pic:blipFill>
                        <pic:spPr>
                          <a:xfrm>
                            <a:off x="0" y="0"/>
                            <a:ext cx="1609725" cy="34861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包括架构下成员管理</w:t>
              <w:br/>
            </w:r>
          </w:p>
        </w:tc>
      </w:tr>
    </w:tbl>
    <w:p>
      <w:pPr>
        <w:numPr>
          <w:numId w:val="21"/>
        </w:numPr>
        <w:spacing w:before="120" w:after="120" w:line="288" w:lineRule="auto"/>
        <w:ind w:left="0"/>
        <w:jc w:val="left"/>
      </w:pPr>
      <w:r>
        <w:rPr>
          <w:rFonts w:eastAsia="等线" w:ascii="Arial" w:cs="Arial" w:hAnsi="Arial"/>
          <w:sz w:val="22"/>
        </w:rPr>
        <w:t>组织架构：查看校区、部门、成员信息，可新增、编辑、删除校区、部门、成员，调整岗位分工，运营要点：规范人员管理，明确岗位职责，确保各岗位衔接顺畅。</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080"/>
        <w:gridCol w:w="4199"/>
      </w:tblGrid>
      <w:tr>
        <w:tc>
          <w:tcPr>
            <w:tcW w:w="4080" w:type="dxa"/>
            <w:tcMar>
              <w:top w:type="dxa" w:w="60"/>
              <w:left w:type="dxa" w:w="120"/>
              <w:bottom w:type="dxa" w:w="30"/>
              <w:right w:type="dxa" w:w="120"/>
            </w:tcMar>
          </w:tcPr>
          <w:p>
            <w:pPr>
              <w:spacing w:before="120" w:after="120" w:line="288" w:lineRule="auto"/>
              <w:ind w:left="0"/>
              <w:jc w:val="center"/>
            </w:pPr>
            <w:r>
              <w:drawing>
                <wp:inline distT="0" distR="0" distB="0" distL="0">
                  <wp:extent cx="2438400" cy="5419725"/>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4"/>
                          <a:stretch>
                            <a:fillRect/>
                          </a:stretch>
                        </pic:blipFill>
                        <pic:spPr>
                          <a:xfrm>
                            <a:off x="0" y="0"/>
                            <a:ext cx="2438400" cy="54197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微信校长端首页点击家校通讯录</w:t>
              <w:br/>
            </w:r>
          </w:p>
        </w:tc>
        <w:tc>
          <w:tcPr>
            <w:tcW w:w="4199" w:type="dxa"/>
            <w:tcMar>
              <w:top w:type="dxa" w:w="60"/>
              <w:left w:type="dxa" w:w="120"/>
              <w:bottom w:type="dxa" w:w="30"/>
              <w:right w:type="dxa" w:w="120"/>
            </w:tcMar>
          </w:tcPr>
          <w:p>
            <w:pPr>
              <w:spacing w:before="120" w:after="120" w:line="288" w:lineRule="auto"/>
              <w:ind w:left="0"/>
              <w:jc w:val="center"/>
            </w:pPr>
            <w:r>
              <w:drawing>
                <wp:inline distT="0" distR="0" distB="0" distL="0">
                  <wp:extent cx="2505075" cy="5419725"/>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15"/>
                          <a:stretch>
                            <a:fillRect/>
                          </a:stretch>
                        </pic:blipFill>
                        <pic:spPr>
                          <a:xfrm>
                            <a:off x="0" y="0"/>
                            <a:ext cx="2505075" cy="54197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即可查看学生基本报名信息</w:t>
              <w:br/>
            </w:r>
          </w:p>
        </w:tc>
      </w:tr>
    </w:tbl>
    <w:p>
      <w:pPr>
        <w:numPr>
          <w:numId w:val="22"/>
        </w:numPr>
        <w:spacing w:before="120" w:after="120" w:line="288" w:lineRule="auto"/>
        <w:ind w:left="0"/>
        <w:jc w:val="left"/>
      </w:pPr>
      <w:r>
        <w:rPr>
          <w:rFonts w:eastAsia="等线" w:ascii="Arial" w:cs="Arial" w:hAnsi="Arial"/>
          <w:sz w:val="22"/>
        </w:rPr>
        <w:t>家校通讯录：查看校区学生报名信息及基本资料，为家校高效对接提供便捷支持。运营要点：便捷联系家长，反馈学员情况、通知校区活动，搭建高效家校沟通桥梁，提升家长满意度。</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16"/>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微信校长端首页点击教务管理</w:t>
              <w:br/>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17"/>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可查看学员到课率等情况</w:t>
              <w:br/>
            </w:r>
          </w:p>
        </w:tc>
      </w:tr>
    </w:tbl>
    <w:p>
      <w:pPr>
        <w:numPr>
          <w:numId w:val="23"/>
        </w:numPr>
        <w:spacing w:before="120" w:after="120" w:line="288" w:lineRule="auto"/>
        <w:ind w:left="0"/>
        <w:jc w:val="left"/>
      </w:pPr>
      <w:r>
        <w:rPr>
          <w:rFonts w:eastAsia="等线" w:ascii="Arial" w:cs="Arial" w:hAnsi="Arial"/>
          <w:sz w:val="22"/>
        </w:rPr>
        <w:t>教务管理：统筹考勤、学管师点评等管理。运营要点：规范教务流程，监督教学计划落地，确保教学有序推进。</w:t>
      </w:r>
    </w:p>
    <w:p>
      <w:pPr>
        <w:pStyle w:val="3"/>
        <w:spacing w:before="300" w:after="120" w:line="288" w:lineRule="auto"/>
        <w:ind w:left="0"/>
        <w:jc w:val="left"/>
        <w:outlineLvl w:val="2"/>
      </w:pPr>
      <w:bookmarkStart w:name="heading_13" w:id="13"/>
      <w:r>
        <w:rPr>
          <w:rFonts w:eastAsia="等线" w:ascii="Arial" w:cs="Arial" w:hAnsi="Arial"/>
          <w:b w:val="true"/>
          <w:sz w:val="30"/>
        </w:rPr>
        <w:t>（四） 功能列表</w:t>
      </w:r>
      <w:bookmarkEnd w:id="13"/>
    </w:p>
    <w:p>
      <w:pPr>
        <w:spacing w:before="120" w:after="120" w:line="288" w:lineRule="auto"/>
        <w:ind w:left="0"/>
        <w:jc w:val="left"/>
      </w:pPr>
      <w:r>
        <w:rPr>
          <w:rFonts w:eastAsia="等线" w:ascii="Arial" w:cs="Arial" w:hAnsi="Arial"/>
          <w:sz w:val="22"/>
        </w:rPr>
        <w:t>入口：首页“功能列表”，整合校区运营所需核心工具，实操及运营要点如下：</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18"/>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微信校长端首页点击学校排课</w:t>
              <w:br/>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9"/>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即可查看校区内每日排课情况</w:t>
              <w:br/>
            </w:r>
          </w:p>
        </w:tc>
      </w:tr>
    </w:tbl>
    <w:p>
      <w:pPr>
        <w:numPr>
          <w:numId w:val="24"/>
        </w:numPr>
        <w:spacing w:before="120" w:after="120" w:line="288" w:lineRule="auto"/>
        <w:ind w:left="0"/>
        <w:jc w:val="left"/>
      </w:pPr>
      <w:r>
        <w:rPr>
          <w:rFonts w:eastAsia="等线" w:ascii="Arial" w:cs="Arial" w:hAnsi="Arial"/>
          <w:sz w:val="22"/>
        </w:rPr>
        <w:t>学校排课：查看排课计划，合理分配教室、教师资源，运营要点：避免排课冲突，提升教师满课率，优化资源利用率。</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0"/>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微信校长端首页点击咨询师排名</w:t>
              <w:br/>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1"/>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即可查看校区内咨询师每日/周/月榜排行</w:t>
              <w:br/>
            </w:r>
          </w:p>
        </w:tc>
      </w:tr>
    </w:tbl>
    <w:p>
      <w:pPr>
        <w:numPr>
          <w:numId w:val="25"/>
        </w:numPr>
        <w:spacing w:before="120" w:after="120" w:line="288" w:lineRule="auto"/>
        <w:ind w:left="0"/>
        <w:jc w:val="left"/>
      </w:pPr>
      <w:r>
        <w:rPr>
          <w:rFonts w:eastAsia="等线" w:ascii="Arial" w:cs="Arial" w:hAnsi="Arial"/>
          <w:sz w:val="22"/>
        </w:rPr>
        <w:t>咨询师排名：按日/周/月查看咨询师业绩（报名人数、续费率、转化率），运营要点：用于咨询师考核，优化招生激励机制，提升招生团队效能。</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2"/>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微信校长端首页点击调课管理</w:t>
              <w:br/>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50545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3"/>
                          <a:stretch>
                            <a:fillRect/>
                          </a:stretch>
                        </pic:blipFill>
                        <pic:spPr>
                          <a:xfrm>
                            <a:off x="0" y="0"/>
                            <a:ext cx="2476500" cy="55054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即可进行调课安排</w:t>
              <w:br/>
            </w:r>
          </w:p>
        </w:tc>
      </w:tr>
    </w:tbl>
    <w:p>
      <w:pPr>
        <w:numPr>
          <w:numId w:val="26"/>
        </w:numPr>
        <w:spacing w:before="120" w:after="120" w:line="288" w:lineRule="auto"/>
        <w:ind w:left="0"/>
        <w:jc w:val="left"/>
      </w:pPr>
      <w:r>
        <w:rPr>
          <w:rFonts w:eastAsia="等线" w:ascii="Arial" w:cs="Arial" w:hAnsi="Arial"/>
          <w:sz w:val="22"/>
        </w:rPr>
        <w:t>调课管理：支持手机端随时随地操作临时调课，无需依赖电脑，高效处理日常课表变动。，运营要点：简化线下繁琐排课流程，碎片化时间即可完成教务调整，提升整体校区运营效率。</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080"/>
        <w:gridCol w:w="4199"/>
      </w:tblGrid>
      <w:tr>
        <w:tc>
          <w:tcPr>
            <w:tcW w:w="4080" w:type="dxa"/>
            <w:tcMar>
              <w:top w:type="dxa" w:w="60"/>
              <w:left w:type="dxa" w:w="120"/>
              <w:bottom w:type="dxa" w:w="30"/>
              <w:right w:type="dxa" w:w="120"/>
            </w:tcMar>
          </w:tcPr>
          <w:p>
            <w:pPr>
              <w:spacing w:before="120" w:after="120" w:line="288" w:lineRule="auto"/>
              <w:ind w:left="0"/>
              <w:jc w:val="center"/>
            </w:pPr>
            <w:r>
              <w:drawing>
                <wp:inline distT="0" distR="0" distB="0" distL="0">
                  <wp:extent cx="2438400" cy="5419725"/>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4"/>
                          <a:stretch>
                            <a:fillRect/>
                          </a:stretch>
                        </pic:blipFill>
                        <pic:spPr>
                          <a:xfrm>
                            <a:off x="0" y="0"/>
                            <a:ext cx="2438400" cy="54197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微信校长端首页点击班级列表</w:t>
              <w:br/>
            </w:r>
          </w:p>
        </w:tc>
        <w:tc>
          <w:tcPr>
            <w:tcW w:w="4199" w:type="dxa"/>
            <w:tcMar>
              <w:top w:type="dxa" w:w="60"/>
              <w:left w:type="dxa" w:w="120"/>
              <w:bottom w:type="dxa" w:w="30"/>
              <w:right w:type="dxa" w:w="120"/>
            </w:tcMar>
          </w:tcPr>
          <w:p>
            <w:pPr>
              <w:spacing w:before="120" w:after="120" w:line="288" w:lineRule="auto"/>
              <w:ind w:left="0"/>
              <w:jc w:val="center"/>
            </w:pPr>
            <w:r>
              <w:drawing>
                <wp:inline distT="0" distR="0" distB="0" distL="0">
                  <wp:extent cx="2505075" cy="5419725"/>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25"/>
                          <a:stretch>
                            <a:fillRect/>
                          </a:stretch>
                        </pic:blipFill>
                        <pic:spPr>
                          <a:xfrm>
                            <a:off x="0" y="0"/>
                            <a:ext cx="2505075" cy="54197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即可查看校区内班级基本信息</w:t>
              <w:br/>
            </w:r>
          </w:p>
        </w:tc>
      </w:tr>
    </w:tbl>
    <w:p>
      <w:pPr>
        <w:numPr>
          <w:numId w:val="27"/>
        </w:numPr>
        <w:spacing w:before="120" w:after="120" w:line="288" w:lineRule="auto"/>
        <w:ind w:left="0"/>
        <w:jc w:val="left"/>
      </w:pPr>
      <w:r>
        <w:rPr>
          <w:rFonts w:eastAsia="等线" w:ascii="Arial" w:cs="Arial" w:hAnsi="Arial"/>
          <w:sz w:val="22"/>
        </w:rPr>
        <w:t>班级列表：查看所有班级信息（班级名称、年级、学生数、学管师），运营要点：统筹班级管理，及时掌握各班级教学进度，排查班级管理问题。</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2707"/>
        <w:gridCol w:w="2786"/>
        <w:gridCol w:w="2786"/>
      </w:tblGrid>
      <w:tr>
        <w:tc>
          <w:tcPr>
            <w:tcW w:w="2707" w:type="dxa"/>
            <w:tcMar>
              <w:top w:type="dxa" w:w="60"/>
              <w:left w:type="dxa" w:w="120"/>
              <w:bottom w:type="dxa" w:w="30"/>
              <w:right w:type="dxa" w:w="120"/>
            </w:tcMar>
          </w:tcPr>
          <w:p>
            <w:pPr>
              <w:spacing w:before="120" w:after="120" w:line="288" w:lineRule="auto"/>
              <w:ind w:left="0"/>
              <w:jc w:val="center"/>
            </w:pPr>
            <w:r>
              <w:drawing>
                <wp:inline distT="0" distR="0" distB="0" distL="0">
                  <wp:extent cx="1562100" cy="3476625"/>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26"/>
                          <a:stretch>
                            <a:fillRect/>
                          </a:stretch>
                        </pic:blipFill>
                        <pic:spPr>
                          <a:xfrm>
                            <a:off x="0" y="0"/>
                            <a:ext cx="1562100" cy="34766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微信校长端首页点击分班排课</w:t>
              <w:br/>
            </w:r>
          </w:p>
        </w:tc>
        <w:tc>
          <w:tcPr>
            <w:tcW w:w="2786" w:type="dxa"/>
            <w:tcMar>
              <w:top w:type="dxa" w:w="60"/>
              <w:left w:type="dxa" w:w="120"/>
              <w:bottom w:type="dxa" w:w="30"/>
              <w:right w:type="dxa" w:w="120"/>
            </w:tcMar>
          </w:tcPr>
          <w:p>
            <w:pPr>
              <w:spacing w:before="120" w:after="120" w:line="288" w:lineRule="auto"/>
              <w:ind w:left="0"/>
              <w:jc w:val="center"/>
            </w:pPr>
            <w:r>
              <w:drawing>
                <wp:inline distT="0" distR="0" distB="0" distL="0">
                  <wp:extent cx="1609725" cy="348615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7"/>
                          <a:stretch>
                            <a:fillRect/>
                          </a:stretch>
                        </pic:blipFill>
                        <pic:spPr>
                          <a:xfrm>
                            <a:off x="0" y="0"/>
                            <a:ext cx="1609725" cy="34861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即可进行校区内班级管理</w:t>
              <w:br/>
            </w:r>
          </w:p>
        </w:tc>
        <w:tc>
          <w:tcPr>
            <w:tcW w:w="2786" w:type="dxa"/>
            <w:tcMar>
              <w:top w:type="dxa" w:w="60"/>
              <w:left w:type="dxa" w:w="120"/>
              <w:bottom w:type="dxa" w:w="30"/>
              <w:right w:type="dxa" w:w="120"/>
            </w:tcMar>
          </w:tcPr>
          <w:p>
            <w:pPr>
              <w:spacing w:before="120" w:after="120" w:line="288" w:lineRule="auto"/>
              <w:ind w:left="0"/>
              <w:jc w:val="center"/>
            </w:pPr>
            <w:r>
              <w:drawing>
                <wp:inline distT="0" distR="0" distB="0" distL="0">
                  <wp:extent cx="1609725" cy="348615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8"/>
                          <a:stretch>
                            <a:fillRect/>
                          </a:stretch>
                        </pic:blipFill>
                        <pic:spPr>
                          <a:xfrm>
                            <a:off x="0" y="0"/>
                            <a:ext cx="1609725" cy="34861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进行班级排课设置</w:t>
              <w:br/>
            </w:r>
          </w:p>
        </w:tc>
      </w:tr>
    </w:tbl>
    <w:p>
      <w:pPr>
        <w:numPr>
          <w:numId w:val="28"/>
        </w:numPr>
        <w:spacing w:before="120" w:after="120" w:line="288" w:lineRule="auto"/>
        <w:ind w:left="0"/>
        <w:jc w:val="left"/>
      </w:pPr>
      <w:r>
        <w:rPr>
          <w:rFonts w:eastAsia="等线" w:ascii="Arial" w:cs="Arial" w:hAnsi="Arial"/>
          <w:sz w:val="22"/>
        </w:rPr>
        <w:t>分班排课：根据学员入学诊断、学习进度、性格分层分组，支持混班教学，运营要点：优化班级配置，实现个性化教学，提升教学效果。</w:t>
      </w:r>
    </w:p>
    <w:p>
      <w:pPr>
        <w:pStyle w:val="2"/>
        <w:spacing w:before="320" w:after="120" w:line="288" w:lineRule="auto"/>
        <w:ind w:left="0"/>
        <w:jc w:val="left"/>
        <w:outlineLvl w:val="1"/>
      </w:pPr>
      <w:bookmarkStart w:name="heading_14" w:id="14"/>
      <w:r>
        <w:rPr>
          <w:rFonts w:eastAsia="等线" w:ascii="Arial" w:cs="Arial" w:hAnsi="Arial"/>
          <w:b w:val="true"/>
          <w:sz w:val="32"/>
        </w:rPr>
        <w:t>第二节 通讯录：学员与人员管理</w:t>
      </w:r>
      <w:bookmarkEnd w:id="14"/>
    </w:p>
    <w:p>
      <w:pPr>
        <w:spacing w:before="120" w:after="120" w:line="288" w:lineRule="auto"/>
        <w:ind w:left="0"/>
        <w:jc w:val="left"/>
      </w:pPr>
      <w:r>
        <w:rPr>
          <w:rFonts w:eastAsia="等线" w:ascii="Arial" w:cs="Arial" w:hAnsi="Arial"/>
          <w:sz w:val="22"/>
        </w:rPr>
        <w:t>入口：底部导航栏“通讯录”，核心用于学员精细化管理，运营要点如下：</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2025"/>
        <w:gridCol w:w="2084"/>
        <w:gridCol w:w="2084"/>
        <w:gridCol w:w="2084"/>
      </w:tblGrid>
      <w:tr>
        <w:tc>
          <w:tcPr>
            <w:tcW w:w="2025" w:type="dxa"/>
            <w:tcMar>
              <w:top w:type="dxa" w:w="60"/>
              <w:left w:type="dxa" w:w="120"/>
              <w:bottom w:type="dxa" w:w="30"/>
              <w:right w:type="dxa" w:w="120"/>
            </w:tcMar>
          </w:tcPr>
          <w:p>
            <w:pPr>
              <w:spacing w:before="120" w:after="120" w:line="288" w:lineRule="auto"/>
              <w:ind w:left="0"/>
              <w:jc w:val="center"/>
            </w:pPr>
            <w:r>
              <w:drawing>
                <wp:inline distT="0" distR="0" distB="0" distL="0">
                  <wp:extent cx="1133475" cy="25146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29"/>
                          <a:stretch>
                            <a:fillRect/>
                          </a:stretch>
                        </pic:blipFill>
                        <pic:spPr>
                          <a:xfrm>
                            <a:off x="0" y="0"/>
                            <a:ext cx="1133475" cy="251460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微信校长端首页点击通讯录</w:t>
              <w:br/>
            </w:r>
          </w:p>
        </w:tc>
        <w:tc>
          <w:tcPr>
            <w:tcW w:w="2084" w:type="dxa"/>
            <w:tcMar>
              <w:top w:type="dxa" w:w="60"/>
              <w:left w:type="dxa" w:w="120"/>
              <w:bottom w:type="dxa" w:w="30"/>
              <w:right w:type="dxa" w:w="120"/>
            </w:tcMar>
          </w:tcPr>
          <w:p>
            <w:pPr>
              <w:spacing w:before="120" w:after="120" w:line="288" w:lineRule="auto"/>
              <w:ind w:left="0"/>
              <w:jc w:val="center"/>
            </w:pPr>
            <w:r>
              <w:drawing>
                <wp:inline distT="0" distR="0" distB="0" distL="0">
                  <wp:extent cx="1162050" cy="2524125"/>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0"/>
                          <a:stretch>
                            <a:fillRect/>
                          </a:stretch>
                        </pic:blipFill>
                        <pic:spPr>
                          <a:xfrm>
                            <a:off x="0" y="0"/>
                            <a:ext cx="1162050" cy="25241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点击校区查看班级情况</w:t>
              <w:br/>
            </w:r>
          </w:p>
        </w:tc>
        <w:tc>
          <w:tcPr>
            <w:tcW w:w="2084" w:type="dxa"/>
            <w:tcMar>
              <w:top w:type="dxa" w:w="60"/>
              <w:left w:type="dxa" w:w="120"/>
              <w:bottom w:type="dxa" w:w="30"/>
              <w:right w:type="dxa" w:w="120"/>
            </w:tcMar>
          </w:tcPr>
          <w:p>
            <w:pPr>
              <w:spacing w:before="120" w:after="120" w:line="288" w:lineRule="auto"/>
              <w:ind w:left="0"/>
              <w:jc w:val="center"/>
            </w:pPr>
            <w:r>
              <w:drawing>
                <wp:inline distT="0" distR="0" distB="0" distL="0">
                  <wp:extent cx="1162050" cy="2524125"/>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1"/>
                          <a:stretch>
                            <a:fillRect/>
                          </a:stretch>
                        </pic:blipFill>
                        <pic:spPr>
                          <a:xfrm>
                            <a:off x="0" y="0"/>
                            <a:ext cx="1162050" cy="25241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点击班级查看学生情况</w:t>
              <w:br/>
            </w:r>
          </w:p>
        </w:tc>
        <w:tc>
          <w:tcPr>
            <w:tcW w:w="2084" w:type="dxa"/>
            <w:tcMar>
              <w:top w:type="dxa" w:w="60"/>
              <w:left w:type="dxa" w:w="120"/>
              <w:bottom w:type="dxa" w:w="30"/>
              <w:right w:type="dxa" w:w="120"/>
            </w:tcMar>
          </w:tcPr>
          <w:p>
            <w:pPr>
              <w:spacing w:before="120" w:after="120" w:line="288" w:lineRule="auto"/>
              <w:ind w:left="0"/>
              <w:jc w:val="center"/>
            </w:pPr>
            <w:r>
              <w:drawing>
                <wp:inline distT="0" distR="0" distB="0" distL="0">
                  <wp:extent cx="1162050" cy="2524125"/>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2"/>
                          <a:stretch>
                            <a:fillRect/>
                          </a:stretch>
                        </pic:blipFill>
                        <pic:spPr>
                          <a:xfrm>
                            <a:off x="0" y="0"/>
                            <a:ext cx="1162050" cy="2524125"/>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点击学生查看详情</w:t>
              <w:br/>
            </w:r>
          </w:p>
        </w:tc>
      </w:tr>
    </w:tbl>
    <w:p>
      <w:pPr>
        <w:numPr>
          <w:numId w:val="29"/>
        </w:numPr>
        <w:spacing w:before="120" w:after="120" w:line="288" w:lineRule="auto"/>
        <w:ind w:left="0"/>
        <w:jc w:val="left"/>
      </w:pPr>
      <w:r>
        <w:rPr>
          <w:rFonts w:eastAsia="等线" w:ascii="Arial" w:cs="Arial" w:hAnsi="Arial"/>
          <w:sz w:val="22"/>
        </w:rPr>
        <w:t>查看所有校区、班级、学生详细信息，快速检索学员。</w:t>
      </w:r>
    </w:p>
    <w:p>
      <w:pPr>
        <w:numPr>
          <w:numId w:val="30"/>
        </w:numPr>
        <w:spacing w:before="120" w:after="120" w:line="288" w:lineRule="auto"/>
        <w:ind w:left="0"/>
        <w:jc w:val="left"/>
      </w:pPr>
      <w:r>
        <w:rPr>
          <w:rFonts w:eastAsia="等线" w:ascii="Arial" w:cs="Arial" w:hAnsi="Arial"/>
          <w:sz w:val="22"/>
        </w:rPr>
        <w:t>直接联系家长、学管师，跟进学员学习情况，及时解决学员管理中的问题，提升学员管理精细化水平。</w:t>
      </w:r>
    </w:p>
    <w:p>
      <w:pPr>
        <w:pStyle w:val="2"/>
        <w:spacing w:before="320" w:after="120" w:line="288" w:lineRule="auto"/>
        <w:ind w:left="0"/>
        <w:jc w:val="left"/>
        <w:outlineLvl w:val="1"/>
      </w:pPr>
      <w:bookmarkStart w:name="heading_15" w:id="15"/>
      <w:r>
        <w:rPr>
          <w:rFonts w:eastAsia="等线" w:ascii="Arial" w:cs="Arial" w:hAnsi="Arial"/>
          <w:b w:val="true"/>
          <w:sz w:val="32"/>
        </w:rPr>
        <w:t>第三节 我的：个人操作与财务管控</w:t>
      </w:r>
      <w:bookmarkEnd w:id="15"/>
    </w:p>
    <w:p>
      <w:pPr>
        <w:spacing w:before="120" w:after="120" w:line="288" w:lineRule="auto"/>
        <w:ind w:left="0"/>
        <w:jc w:val="left"/>
      </w:pPr>
      <w:r>
        <w:rPr>
          <w:rFonts w:eastAsia="等线" w:ascii="Arial" w:cs="Arial" w:hAnsi="Arial"/>
          <w:sz w:val="22"/>
        </w:rPr>
        <w:t>入口：底部导航栏“我的”，核心用于个人设置、财务提现及账号管理，运营要点如下：</w:t>
      </w:r>
    </w:p>
    <w:p>
      <w:pPr>
        <w:spacing w:before="120" w:after="120" w:line="288" w:lineRule="auto"/>
        <w:ind w:left="0"/>
        <w:jc w:val="center"/>
      </w:pPr>
      <w:r>
        <w:drawing>
          <wp:inline distT="0" distR="0" distB="0" distL="0">
            <wp:extent cx="3695700" cy="8220075"/>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3"/>
                    <a:stretch>
                      <a:fillRect/>
                    </a:stretch>
                  </pic:blipFill>
                  <pic:spPr>
                    <a:xfrm>
                      <a:off x="0" y="0"/>
                      <a:ext cx="3695700" cy="8220075"/>
                    </a:xfrm>
                    <a:prstGeom prst="rect">
                      <a:avLst/>
                    </a:prstGeom>
                  </pic:spPr>
                </pic:pic>
              </a:graphicData>
            </a:graphic>
          </wp:inline>
        </w:drawing>
      </w:r>
    </w:p>
    <w:p>
      <w:pPr>
        <w:numPr>
          <w:numId w:val="31"/>
        </w:numPr>
        <w:spacing w:before="120" w:after="120" w:line="288" w:lineRule="auto"/>
        <w:ind w:left="0"/>
        <w:jc w:val="left"/>
      </w:pPr>
      <w:r>
        <w:rPr>
          <w:rFonts w:eastAsia="等线" w:ascii="Arial" w:cs="Arial" w:hAnsi="Arial"/>
          <w:sz w:val="22"/>
        </w:rPr>
        <w:t>余额提现：本平台账户余额将统一归集各类交易收入及相关奖励，您可实时查询资金明细；目前提现采用 T+1 结算模式，工作日内提交申请次日即可到账；手续费由双方共同承担。运营要点：仔细核对提现金额、账户信息，避免资金无法到账；及时查看提现状态，处理审核驳回问题。</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3560"/>
        <w:gridCol w:w="4719"/>
      </w:tblGrid>
      <w:tr>
        <w:tc>
          <w:tcPr>
            <w:tcW w:w="3560" w:type="dxa"/>
            <w:tcMar>
              <w:top w:type="dxa" w:w="60"/>
              <w:left w:type="dxa" w:w="120"/>
              <w:bottom w:type="dxa" w:w="30"/>
              <w:right w:type="dxa" w:w="120"/>
            </w:tcMar>
          </w:tcPr>
          <w:p>
            <w:pPr>
              <w:spacing w:before="120" w:after="120" w:line="288" w:lineRule="auto"/>
              <w:ind w:left="0"/>
              <w:jc w:val="center"/>
            </w:pPr>
            <w:r>
              <w:drawing>
                <wp:inline distT="0" distR="0" distB="0" distL="0">
                  <wp:extent cx="2105025" cy="46863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4"/>
                          <a:stretch>
                            <a:fillRect/>
                          </a:stretch>
                        </pic:blipFill>
                        <pic:spPr>
                          <a:xfrm>
                            <a:off x="0" y="0"/>
                            <a:ext cx="2105025" cy="4686300"/>
                          </a:xfrm>
                          <a:prstGeom prst="rect">
                            <a:avLst/>
                          </a:prstGeom>
                        </pic:spPr>
                      </pic:pic>
                    </a:graphicData>
                  </a:graphic>
                </wp:inline>
              </w:drawing>
            </w:r>
          </w:p>
        </w:tc>
        <w:tc>
          <w:tcPr>
            <w:tcW w:w="4719" w:type="dxa"/>
            <w:tcMar>
              <w:top w:type="dxa" w:w="60"/>
              <w:left w:type="dxa" w:w="120"/>
              <w:bottom w:type="dxa" w:w="30"/>
              <w:right w:type="dxa" w:w="120"/>
            </w:tcMar>
          </w:tcPr>
          <w:p>
            <w:pPr>
              <w:spacing w:before="120" w:after="120" w:line="288" w:lineRule="auto"/>
              <w:ind w:left="0"/>
              <w:jc w:val="center"/>
            </w:pPr>
            <w:r>
              <w:drawing>
                <wp:inline distT="0" distR="0" distB="0" distL="0">
                  <wp:extent cx="2838450" cy="4752975"/>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35"/>
                          <a:stretch>
                            <a:fillRect/>
                          </a:stretch>
                        </pic:blipFill>
                        <pic:spPr>
                          <a:xfrm>
                            <a:off x="0" y="0"/>
                            <a:ext cx="2838450" cy="4752975"/>
                          </a:xfrm>
                          <a:prstGeom prst="rect">
                            <a:avLst/>
                          </a:prstGeom>
                        </pic:spPr>
                      </pic:pic>
                    </a:graphicData>
                  </a:graphic>
                </wp:inline>
              </w:drawing>
            </w:r>
          </w:p>
        </w:tc>
      </w:tr>
    </w:tbl>
    <w:p>
      <w:pPr>
        <w:numPr>
          <w:numId w:val="32"/>
        </w:numPr>
        <w:spacing w:before="120" w:after="120" w:line="288" w:lineRule="auto"/>
        <w:ind w:left="0"/>
        <w:jc w:val="left"/>
      </w:pPr>
      <w:r>
        <w:rPr>
          <w:rFonts w:eastAsia="等线" w:ascii="Arial" w:cs="Arial" w:hAnsi="Arial"/>
          <w:sz w:val="22"/>
        </w:rPr>
        <w:t>提现记录：查看过往提现明细（金额、时间、状态），运营要点：定期核对提现记录，确保财务透明，规范资金管理。</w:t>
      </w:r>
    </w:p>
    <w:p>
      <w:pPr>
        <w:pStyle w:val="1"/>
        <w:spacing w:before="380" w:after="140" w:line="288" w:lineRule="auto"/>
        <w:ind w:left="0"/>
        <w:jc w:val="left"/>
        <w:outlineLvl w:val="0"/>
      </w:pPr>
      <w:bookmarkStart w:name="heading_16" w:id="16"/>
      <w:r>
        <w:rPr>
          <w:rFonts w:eastAsia="等线" w:ascii="Arial" w:cs="Arial" w:hAnsi="Arial"/>
          <w:b w:val="true"/>
          <w:sz w:val="36"/>
        </w:rPr>
        <w:t>四、校区运营核心流程规范</w:t>
      </w:r>
      <w:bookmarkEnd w:id="16"/>
    </w:p>
    <w:p>
      <w:pPr>
        <w:pStyle w:val="2"/>
        <w:spacing w:before="320" w:after="120" w:line="288" w:lineRule="auto"/>
        <w:ind w:left="0"/>
        <w:jc w:val="left"/>
        <w:outlineLvl w:val="1"/>
      </w:pPr>
      <w:bookmarkStart w:name="heading_17" w:id="17"/>
      <w:r>
        <w:rPr>
          <w:rFonts w:eastAsia="等线" w:ascii="Arial" w:cs="Arial" w:hAnsi="Arial"/>
          <w:b w:val="true"/>
          <w:sz w:val="32"/>
        </w:rPr>
        <w:t>第一节 招生运营流程</w:t>
      </w:r>
      <w:bookmarkEnd w:id="17"/>
    </w:p>
    <w:p>
      <w:pPr>
        <w:numPr>
          <w:numId w:val="33"/>
        </w:numPr>
        <w:spacing w:before="120" w:after="120" w:line="288" w:lineRule="auto"/>
        <w:ind w:left="0"/>
        <w:jc w:val="left"/>
      </w:pPr>
      <w:r>
        <w:rPr>
          <w:rFonts w:eastAsia="等线" w:ascii="Arial" w:cs="Arial" w:hAnsi="Arial"/>
          <w:sz w:val="22"/>
        </w:rPr>
        <w:t>数据监控：每日通过“今日统计”“运营日报”，监控新增意向学员、报名人数、咨询师业绩，及时调整招生策略。</w:t>
      </w:r>
    </w:p>
    <w:p>
      <w:pPr>
        <w:numPr>
          <w:numId w:val="34"/>
        </w:numPr>
        <w:spacing w:before="120" w:after="120" w:line="288" w:lineRule="auto"/>
        <w:ind w:left="0"/>
        <w:jc w:val="left"/>
      </w:pPr>
      <w:r>
        <w:rPr>
          <w:rFonts w:eastAsia="等线" w:ascii="Arial" w:cs="Arial" w:hAnsi="Arial"/>
          <w:sz w:val="22"/>
        </w:rPr>
        <w:t>业绩管理：通过“咨询师排名”，定期考核咨询师业绩，优化招生激励机制，提升招生转化效率。</w:t>
      </w:r>
    </w:p>
    <w:p>
      <w:pPr>
        <w:numPr>
          <w:numId w:val="35"/>
        </w:numPr>
        <w:spacing w:before="120" w:after="120" w:line="288" w:lineRule="auto"/>
        <w:ind w:left="0"/>
        <w:jc w:val="left"/>
      </w:pPr>
      <w:r>
        <w:rPr>
          <w:rFonts w:eastAsia="等线" w:ascii="Arial" w:cs="Arial" w:hAnsi="Arial"/>
          <w:sz w:val="22"/>
        </w:rPr>
        <w:t>学员跟进：通过“待续费”板块，督促咨询师跟进续费学员，提升续班率；通过“通讯录”，跟进学员学习情况，提升转介绍率。</w:t>
      </w:r>
    </w:p>
    <w:p>
      <w:pPr>
        <w:pStyle w:val="2"/>
        <w:spacing w:before="320" w:after="120" w:line="288" w:lineRule="auto"/>
        <w:ind w:left="0"/>
        <w:jc w:val="left"/>
        <w:outlineLvl w:val="1"/>
      </w:pPr>
      <w:bookmarkStart w:name="heading_18" w:id="18"/>
      <w:r>
        <w:rPr>
          <w:rFonts w:eastAsia="等线" w:ascii="Arial" w:cs="Arial" w:hAnsi="Arial"/>
          <w:b w:val="true"/>
          <w:sz w:val="32"/>
        </w:rPr>
        <w:t>第二节 教学运营流程</w:t>
      </w:r>
      <w:bookmarkEnd w:id="18"/>
    </w:p>
    <w:p>
      <w:pPr>
        <w:numPr>
          <w:numId w:val="36"/>
        </w:numPr>
        <w:spacing w:before="120" w:after="120" w:line="288" w:lineRule="auto"/>
        <w:ind w:left="0"/>
        <w:jc w:val="left"/>
      </w:pPr>
      <w:r>
        <w:rPr>
          <w:rFonts w:eastAsia="等线" w:ascii="Arial" w:cs="Arial" w:hAnsi="Arial"/>
          <w:sz w:val="22"/>
        </w:rPr>
        <w:t>排课管理：通过“学校排课”“分班排课”，合理安排课程、分配学员，避免排课冲突，优化教学资源配置。</w:t>
      </w:r>
    </w:p>
    <w:p>
      <w:pPr>
        <w:numPr>
          <w:numId w:val="37"/>
        </w:numPr>
        <w:spacing w:before="120" w:after="120" w:line="288" w:lineRule="auto"/>
        <w:ind w:left="0"/>
        <w:jc w:val="left"/>
      </w:pPr>
      <w:r>
        <w:rPr>
          <w:rFonts w:eastAsia="等线" w:ascii="Arial" w:cs="Arial" w:hAnsi="Arial"/>
          <w:sz w:val="22"/>
        </w:rPr>
        <w:t>考勤管理：通过“待办-异常考勤”“教务管理-考勤管理”，规范学员考勤，及时处理考勤异常，提升出勤率。</w:t>
      </w:r>
    </w:p>
    <w:p>
      <w:pPr>
        <w:numPr>
          <w:numId w:val="38"/>
        </w:numPr>
        <w:spacing w:before="120" w:after="120" w:line="288" w:lineRule="auto"/>
        <w:ind w:left="0"/>
        <w:jc w:val="left"/>
      </w:pPr>
      <w:r>
        <w:rPr>
          <w:rFonts w:eastAsia="等线" w:ascii="Arial" w:cs="Arial" w:hAnsi="Arial"/>
          <w:sz w:val="22"/>
        </w:rPr>
        <w:t>教学监控：通过“运营月报-教学成效”指标，监控教学质量，督促学管师优化辅导方案，提升学员学习效果。</w:t>
      </w:r>
    </w:p>
    <w:p>
      <w:pPr>
        <w:pStyle w:val="2"/>
        <w:spacing w:before="320" w:after="120" w:line="288" w:lineRule="auto"/>
        <w:ind w:left="0"/>
        <w:jc w:val="left"/>
        <w:outlineLvl w:val="1"/>
      </w:pPr>
      <w:bookmarkStart w:name="heading_19" w:id="19"/>
      <w:r>
        <w:rPr>
          <w:rFonts w:eastAsia="等线" w:ascii="Arial" w:cs="Arial" w:hAnsi="Arial"/>
          <w:b w:val="true"/>
          <w:sz w:val="32"/>
        </w:rPr>
        <w:t>第三节 财务运营流程</w:t>
      </w:r>
      <w:bookmarkEnd w:id="19"/>
    </w:p>
    <w:p>
      <w:pPr>
        <w:numPr>
          <w:numId w:val="39"/>
        </w:numPr>
        <w:spacing w:before="120" w:after="120" w:line="288" w:lineRule="auto"/>
        <w:ind w:left="0"/>
        <w:jc w:val="left"/>
      </w:pPr>
      <w:r>
        <w:rPr>
          <w:rFonts w:eastAsia="等线" w:ascii="Arial" w:cs="Arial" w:hAnsi="Arial"/>
          <w:sz w:val="22"/>
        </w:rPr>
        <w:t>资金监控：通过“运营月报-财务健康”指标，监控校区资金状况，规避财务风险。</w:t>
      </w:r>
    </w:p>
    <w:p>
      <w:pPr>
        <w:numPr>
          <w:numId w:val="40"/>
        </w:numPr>
        <w:spacing w:before="120" w:after="120" w:line="288" w:lineRule="auto"/>
        <w:ind w:left="0"/>
        <w:jc w:val="left"/>
      </w:pPr>
      <w:r>
        <w:rPr>
          <w:rFonts w:eastAsia="等线" w:ascii="Arial" w:cs="Arial" w:hAnsi="Arial"/>
          <w:sz w:val="22"/>
        </w:rPr>
        <w:t>退费管理：通过“待办-退费审批”，严格审核退费申请，规范退费流程，确保财务合规。</w:t>
      </w:r>
    </w:p>
    <w:p>
      <w:pPr>
        <w:numPr>
          <w:numId w:val="41"/>
        </w:numPr>
        <w:spacing w:before="120" w:after="120" w:line="288" w:lineRule="auto"/>
        <w:ind w:left="0"/>
        <w:jc w:val="left"/>
      </w:pPr>
      <w:r>
        <w:rPr>
          <w:rFonts w:eastAsia="等线" w:ascii="Arial" w:cs="Arial" w:hAnsi="Arial"/>
          <w:sz w:val="22"/>
        </w:rPr>
        <w:t>资金提现：通过“我的-余额提现”，规范提现操作，定期核对提现记录，确保资金安全。</w:t>
      </w:r>
    </w:p>
    <w:p>
      <w:pPr>
        <w:pStyle w:val="2"/>
        <w:spacing w:before="320" w:after="120" w:line="288" w:lineRule="auto"/>
        <w:ind w:left="0"/>
        <w:jc w:val="left"/>
        <w:outlineLvl w:val="1"/>
      </w:pPr>
      <w:bookmarkStart w:name="heading_20" w:id="20"/>
      <w:r>
        <w:rPr>
          <w:rFonts w:eastAsia="等线" w:ascii="Arial" w:cs="Arial" w:hAnsi="Arial"/>
          <w:b w:val="true"/>
          <w:sz w:val="32"/>
        </w:rPr>
        <w:t>第四节 人员管理流程</w:t>
      </w:r>
      <w:bookmarkEnd w:id="20"/>
    </w:p>
    <w:p>
      <w:pPr>
        <w:numPr>
          <w:numId w:val="42"/>
        </w:numPr>
        <w:spacing w:before="120" w:after="120" w:line="288" w:lineRule="auto"/>
        <w:ind w:left="0"/>
        <w:jc w:val="left"/>
      </w:pPr>
      <w:r>
        <w:rPr>
          <w:rFonts w:eastAsia="等线" w:ascii="Arial" w:cs="Arial" w:hAnsi="Arial"/>
          <w:sz w:val="22"/>
        </w:rPr>
        <w:t>组织管理：通过“管理控制台-组织架构”，规范部门、岗位设置，明确岗位职责，优化人员配置。</w:t>
      </w:r>
    </w:p>
    <w:p>
      <w:pPr>
        <w:numPr>
          <w:numId w:val="43"/>
        </w:numPr>
        <w:spacing w:before="120" w:after="120" w:line="288" w:lineRule="auto"/>
        <w:ind w:left="0"/>
        <w:jc w:val="left"/>
      </w:pPr>
      <w:r>
        <w:rPr>
          <w:rFonts w:eastAsia="等线" w:ascii="Arial" w:cs="Arial" w:hAnsi="Arial"/>
          <w:sz w:val="22"/>
        </w:rPr>
        <w:t>效能管理：通过“运营月报-运营效能”“咨询师排名”，考核工作人员效能，优化人员激励机制。</w:t>
      </w:r>
    </w:p>
    <w:p>
      <w:pPr>
        <w:pStyle w:val="1"/>
        <w:spacing w:before="380" w:after="140" w:line="288" w:lineRule="auto"/>
        <w:ind w:left="0"/>
        <w:jc w:val="left"/>
        <w:outlineLvl w:val="0"/>
      </w:pPr>
      <w:bookmarkStart w:name="heading_21" w:id="21"/>
      <w:r>
        <w:rPr>
          <w:rFonts w:eastAsia="等线" w:ascii="Arial" w:cs="Arial" w:hAnsi="Arial"/>
          <w:b w:val="true"/>
          <w:sz w:val="36"/>
        </w:rPr>
        <w:t>五、使用规范与风险管控</w:t>
      </w:r>
      <w:bookmarkEnd w:id="21"/>
    </w:p>
    <w:p>
      <w:pPr>
        <w:pStyle w:val="2"/>
        <w:spacing w:before="320" w:after="120" w:line="288" w:lineRule="auto"/>
        <w:ind w:left="0"/>
        <w:jc w:val="left"/>
        <w:outlineLvl w:val="1"/>
      </w:pPr>
      <w:bookmarkStart w:name="heading_22" w:id="22"/>
      <w:r>
        <w:rPr>
          <w:rFonts w:eastAsia="等线" w:ascii="Arial" w:cs="Arial" w:hAnsi="Arial"/>
          <w:b w:val="true"/>
          <w:sz w:val="32"/>
        </w:rPr>
        <w:t>第一节 使用规范</w:t>
      </w:r>
      <w:bookmarkEnd w:id="22"/>
    </w:p>
    <w:p>
      <w:pPr>
        <w:numPr>
          <w:numId w:val="44"/>
        </w:numPr>
        <w:spacing w:before="120" w:after="120" w:line="288" w:lineRule="auto"/>
        <w:ind w:left="0"/>
        <w:jc w:val="left"/>
      </w:pPr>
      <w:r>
        <w:rPr>
          <w:rFonts w:eastAsia="等线" w:ascii="Arial" w:cs="Arial" w:hAnsi="Arial"/>
          <w:sz w:val="22"/>
        </w:rPr>
        <w:t>账号规范：严禁转借账号、泄露密码，定期修改密码，确保账号安全；公共设备登录后需及时退出。</w:t>
      </w:r>
    </w:p>
    <w:p>
      <w:pPr>
        <w:numPr>
          <w:numId w:val="45"/>
        </w:numPr>
        <w:spacing w:before="120" w:after="120" w:line="288" w:lineRule="auto"/>
        <w:ind w:left="0"/>
        <w:jc w:val="left"/>
      </w:pPr>
      <w:r>
        <w:rPr>
          <w:rFonts w:eastAsia="等线" w:ascii="Arial" w:cs="Arial" w:hAnsi="Arial"/>
          <w:sz w:val="22"/>
        </w:rPr>
        <w:t>数据规范：严禁截图、转发、泄露校区运营数据、学员信息等核心机密；严禁篡改、伪造数据，确保数据真实准确。</w:t>
      </w:r>
    </w:p>
    <w:p>
      <w:pPr>
        <w:numPr>
          <w:numId w:val="46"/>
        </w:numPr>
        <w:spacing w:before="120" w:after="120" w:line="288" w:lineRule="auto"/>
        <w:ind w:left="0"/>
        <w:jc w:val="left"/>
      </w:pPr>
      <w:r>
        <w:rPr>
          <w:rFonts w:eastAsia="等线" w:ascii="Arial" w:cs="Arial" w:hAnsi="Arial"/>
          <w:sz w:val="22"/>
        </w:rPr>
        <w:t>操作规范：严格按手册指引操作核心功能（尤其是退费审批、排课调整），操作前仔细核实信息，避免误操作；操作后及时通知相关人员，确保工作衔接。</w:t>
      </w:r>
    </w:p>
    <w:p>
      <w:pPr>
        <w:pStyle w:val="2"/>
        <w:spacing w:before="320" w:after="120" w:line="288" w:lineRule="auto"/>
        <w:ind w:left="0"/>
        <w:jc w:val="left"/>
        <w:outlineLvl w:val="1"/>
      </w:pPr>
      <w:bookmarkStart w:name="heading_23" w:id="23"/>
      <w:r>
        <w:rPr>
          <w:rFonts w:eastAsia="等线" w:ascii="Arial" w:cs="Arial" w:hAnsi="Arial"/>
          <w:b w:val="true"/>
          <w:sz w:val="32"/>
        </w:rPr>
        <w:t>第二节 风险管控</w:t>
      </w:r>
      <w:bookmarkEnd w:id="23"/>
    </w:p>
    <w:p>
      <w:pPr>
        <w:numPr>
          <w:numId w:val="47"/>
        </w:numPr>
        <w:spacing w:before="120" w:after="120" w:line="288" w:lineRule="auto"/>
        <w:ind w:left="0"/>
        <w:jc w:val="left"/>
      </w:pPr>
      <w:r>
        <w:rPr>
          <w:rFonts w:eastAsia="等线" w:ascii="Arial" w:cs="Arial" w:hAnsi="Arial"/>
          <w:sz w:val="22"/>
        </w:rPr>
        <w:t>数据风险：妥善保管核心数据，避免泄露，若出现数据异常，及时联系对接人处理。</w:t>
      </w:r>
    </w:p>
    <w:p>
      <w:pPr>
        <w:numPr>
          <w:numId w:val="48"/>
        </w:numPr>
        <w:spacing w:before="120" w:after="120" w:line="288" w:lineRule="auto"/>
        <w:ind w:left="0"/>
        <w:jc w:val="left"/>
      </w:pPr>
      <w:r>
        <w:rPr>
          <w:rFonts w:eastAsia="等线" w:ascii="Arial" w:cs="Arial" w:hAnsi="Arial"/>
          <w:sz w:val="22"/>
        </w:rPr>
        <w:t>财务风险：严格审核退费申请，监控财务健康指标，规避资金风险；提现时仔细核对账户信息，避免资金损失。</w:t>
      </w:r>
    </w:p>
    <w:p>
      <w:pPr>
        <w:numPr>
          <w:numId w:val="49"/>
        </w:numPr>
        <w:spacing w:before="120" w:after="120" w:line="288" w:lineRule="auto"/>
        <w:ind w:left="0"/>
        <w:jc w:val="left"/>
      </w:pPr>
      <w:r>
        <w:rPr>
          <w:rFonts w:eastAsia="等线" w:ascii="Arial" w:cs="Arial" w:hAnsi="Arial"/>
          <w:sz w:val="22"/>
        </w:rPr>
        <w:t>操作风险：避免误批退费、排课冲突等误操作，若出现误操作，及时采取补救措施，并联系对接人协助处理。</w:t>
      </w:r>
    </w:p>
    <w:p>
      <w:pPr>
        <w:pStyle w:val="1"/>
        <w:spacing w:before="380" w:after="140" w:line="288" w:lineRule="auto"/>
        <w:ind w:left="0"/>
        <w:jc w:val="left"/>
        <w:outlineLvl w:val="0"/>
      </w:pPr>
      <w:bookmarkStart w:name="heading_24" w:id="24"/>
      <w:r>
        <w:rPr>
          <w:rFonts w:eastAsia="等线" w:ascii="Arial" w:cs="Arial" w:hAnsi="Arial"/>
          <w:b w:val="true"/>
          <w:sz w:val="36"/>
        </w:rPr>
        <w:t>六、常见问题与应急处理</w:t>
      </w:r>
      <w:bookmarkEnd w:id="24"/>
    </w:p>
    <w:p>
      <w:pPr>
        <w:pStyle w:val="2"/>
        <w:spacing w:before="320" w:after="120" w:line="288" w:lineRule="auto"/>
        <w:ind w:left="0"/>
        <w:jc w:val="left"/>
        <w:outlineLvl w:val="1"/>
      </w:pPr>
      <w:bookmarkStart w:name="heading_25" w:id="25"/>
      <w:r>
        <w:rPr>
          <w:rFonts w:eastAsia="等线" w:ascii="Arial" w:cs="Arial" w:hAnsi="Arial"/>
          <w:b w:val="true"/>
          <w:sz w:val="32"/>
        </w:rPr>
        <w:t>第一节 常见问题解答</w:t>
      </w:r>
      <w:bookmarkEnd w:id="25"/>
    </w:p>
    <w:p>
      <w:pPr>
        <w:numPr>
          <w:numId w:val="50"/>
        </w:numPr>
        <w:spacing w:before="120" w:after="120" w:line="288" w:lineRule="auto"/>
        <w:ind w:left="0"/>
        <w:jc w:val="left"/>
      </w:pPr>
      <w:r>
        <w:rPr>
          <w:rFonts w:eastAsia="等线" w:ascii="Arial" w:cs="Arial" w:hAnsi="Arial"/>
          <w:sz w:val="22"/>
        </w:rPr>
        <w:t>登录失败/密码忘记：通过“忘记密码”重置，或联系对接人核实账号信息、重置密码。</w:t>
      </w:r>
    </w:p>
    <w:p>
      <w:pPr>
        <w:numPr>
          <w:numId w:val="51"/>
        </w:numPr>
        <w:spacing w:before="120" w:after="120" w:line="288" w:lineRule="auto"/>
        <w:ind w:left="0"/>
        <w:jc w:val="left"/>
      </w:pPr>
      <w:r>
        <w:rPr>
          <w:rFonts w:eastAsia="等线" w:ascii="Arial" w:cs="Arial" w:hAnsi="Arial"/>
          <w:sz w:val="22"/>
        </w:rPr>
        <w:t>数据不更新/显示异常：退出小程序重新进入、切换网络，仍异常则联系对接人排查。</w:t>
      </w:r>
    </w:p>
    <w:p>
      <w:pPr>
        <w:numPr>
          <w:numId w:val="52"/>
        </w:numPr>
        <w:spacing w:before="120" w:after="120" w:line="288" w:lineRule="auto"/>
        <w:ind w:left="0"/>
        <w:jc w:val="left"/>
      </w:pPr>
      <w:r>
        <w:rPr>
          <w:rFonts w:eastAsia="等线" w:ascii="Arial" w:cs="Arial" w:hAnsi="Arial"/>
          <w:sz w:val="22"/>
        </w:rPr>
        <w:t>排课冲突：进入“学校排课”编辑冲突信息，调整时间/教师/教室，通知相关人员。</w:t>
      </w:r>
    </w:p>
    <w:p>
      <w:pPr>
        <w:numPr>
          <w:numId w:val="53"/>
        </w:numPr>
        <w:spacing w:before="120" w:after="120" w:line="288" w:lineRule="auto"/>
        <w:ind w:left="0"/>
        <w:jc w:val="left"/>
      </w:pPr>
      <w:r>
        <w:rPr>
          <w:rFonts w:eastAsia="等线" w:ascii="Arial" w:cs="Arial" w:hAnsi="Arial"/>
          <w:sz w:val="22"/>
        </w:rPr>
        <w:t>提现审核驳回：查看驳回原因（账户错误、余额不足等），修改后重新提交。</w:t>
      </w:r>
    </w:p>
    <w:p>
      <w:pPr>
        <w:numPr>
          <w:numId w:val="54"/>
        </w:numPr>
        <w:spacing w:before="120" w:after="120" w:line="288" w:lineRule="auto"/>
        <w:ind w:left="0"/>
        <w:jc w:val="left"/>
      </w:pPr>
      <w:r>
        <w:rPr>
          <w:rFonts w:eastAsia="等线" w:ascii="Arial" w:cs="Arial" w:hAnsi="Arial"/>
          <w:sz w:val="22"/>
        </w:rPr>
        <w:t>学员信息查询：通过“通讯录”或“班级列表”检索学员，查看详细信息。</w:t>
      </w:r>
    </w:p>
    <w:p>
      <w:pPr>
        <w:pStyle w:val="2"/>
        <w:spacing w:before="320" w:after="120" w:line="288" w:lineRule="auto"/>
        <w:ind w:left="0"/>
        <w:jc w:val="left"/>
        <w:outlineLvl w:val="1"/>
      </w:pPr>
      <w:bookmarkStart w:name="heading_26" w:id="26"/>
      <w:r>
        <w:rPr>
          <w:rFonts w:eastAsia="等线" w:ascii="Arial" w:cs="Arial" w:hAnsi="Arial"/>
          <w:b w:val="true"/>
          <w:sz w:val="32"/>
        </w:rPr>
        <w:t>第二节 应急处理流程</w:t>
      </w:r>
      <w:bookmarkEnd w:id="26"/>
    </w:p>
    <w:p>
      <w:pPr>
        <w:numPr>
          <w:numId w:val="55"/>
        </w:numPr>
        <w:spacing w:before="120" w:after="120" w:line="288" w:lineRule="auto"/>
        <w:ind w:left="0"/>
        <w:jc w:val="left"/>
      </w:pPr>
      <w:r>
        <w:rPr>
          <w:rFonts w:eastAsia="等线" w:ascii="Arial" w:cs="Arial" w:hAnsi="Arial"/>
          <w:sz w:val="22"/>
        </w:rPr>
        <w:t>问题反馈：联系客服电话或对接人，提交问题及相关凭证。</w:t>
      </w:r>
    </w:p>
    <w:p>
      <w:pPr>
        <w:numPr>
          <w:numId w:val="56"/>
        </w:numPr>
        <w:spacing w:before="120" w:after="120" w:line="288" w:lineRule="auto"/>
        <w:ind w:left="0"/>
        <w:jc w:val="left"/>
      </w:pPr>
      <w:r>
        <w:rPr>
          <w:rFonts w:eastAsia="等线" w:ascii="Arial" w:cs="Arial" w:hAnsi="Arial"/>
          <w:sz w:val="22"/>
        </w:rPr>
        <w:t>受理响应：工作人员2小时内确认受理，告知处理进度。</w:t>
      </w:r>
    </w:p>
    <w:p>
      <w:pPr>
        <w:numPr>
          <w:numId w:val="57"/>
        </w:numPr>
        <w:spacing w:before="120" w:after="120" w:line="288" w:lineRule="auto"/>
        <w:ind w:left="0"/>
        <w:jc w:val="left"/>
      </w:pPr>
      <w:r>
        <w:rPr>
          <w:rFonts w:eastAsia="等线" w:ascii="Arial" w:cs="Arial" w:hAnsi="Arial"/>
          <w:sz w:val="22"/>
        </w:rPr>
        <w:t>问题处理：一般问题24小时内解决，复杂问题（系统故障、数据异常）72小时内给出方案。</w:t>
      </w:r>
    </w:p>
    <w:p>
      <w:pPr>
        <w:numPr>
          <w:numId w:val="58"/>
        </w:numPr>
        <w:spacing w:before="120" w:after="120" w:line="288" w:lineRule="auto"/>
        <w:ind w:left="0"/>
        <w:jc w:val="left"/>
      </w:pPr>
      <w:r>
        <w:rPr>
          <w:rFonts w:eastAsia="等线" w:ascii="Arial" w:cs="Arial" w:hAnsi="Arial"/>
          <w:sz w:val="22"/>
        </w:rPr>
        <w:t>复盘优化：问题解决后，总结原因，优化运营流程，避免同类问题重复出现。</w:t>
      </w:r>
    </w:p>
    <w:p>
      <w:pPr>
        <w:pStyle w:val="1"/>
        <w:spacing w:before="380" w:after="140" w:line="288" w:lineRule="auto"/>
        <w:ind w:left="0"/>
        <w:jc w:val="left"/>
        <w:outlineLvl w:val="0"/>
      </w:pPr>
      <w:bookmarkStart w:name="heading_27" w:id="27"/>
      <w:r>
        <w:rPr>
          <w:rFonts w:eastAsia="等线" w:ascii="Arial" w:cs="Arial" w:hAnsi="Arial"/>
          <w:b w:val="true"/>
          <w:sz w:val="36"/>
        </w:rPr>
        <w:t>七、沟通与反馈渠道</w:t>
      </w:r>
      <w:bookmarkEnd w:id="27"/>
    </w:p>
    <w:p>
      <w:pPr>
        <w:pStyle w:val="2"/>
        <w:spacing w:before="320" w:after="120" w:line="288" w:lineRule="auto"/>
        <w:ind w:left="0"/>
        <w:jc w:val="left"/>
        <w:outlineLvl w:val="1"/>
      </w:pPr>
      <w:bookmarkStart w:name="heading_28" w:id="28"/>
      <w:r>
        <w:rPr>
          <w:rFonts w:eastAsia="等线" w:ascii="Arial" w:cs="Arial" w:hAnsi="Arial"/>
          <w:b w:val="true"/>
          <w:sz w:val="32"/>
        </w:rPr>
        <w:t>第一节 日常沟通渠道</w:t>
      </w:r>
      <w:bookmarkEnd w:id="28"/>
    </w:p>
    <w:p>
      <w:pPr>
        <w:numPr>
          <w:numId w:val="59"/>
        </w:numPr>
        <w:spacing w:before="120" w:after="120" w:line="288" w:lineRule="auto"/>
        <w:ind w:left="0"/>
        <w:jc w:val="left"/>
      </w:pPr>
      <w:r>
        <w:rPr>
          <w:rFonts w:eastAsia="等线" w:ascii="Arial" w:cs="Arial" w:hAnsi="Arial"/>
          <w:sz w:val="22"/>
        </w:rPr>
        <w:t>简思未来学习中心对接人：负责解答功能操作、数据异常、系统故障等疑问，协助处理复杂运营问题。</w:t>
      </w:r>
    </w:p>
    <w:p>
      <w:pPr>
        <w:pStyle w:val="1"/>
        <w:spacing w:before="380" w:after="140" w:line="288" w:lineRule="auto"/>
        <w:ind w:left="0"/>
        <w:jc w:val="left"/>
        <w:outlineLvl w:val="0"/>
      </w:pPr>
      <w:bookmarkStart w:name="heading_29" w:id="29"/>
      <w:r>
        <w:rPr>
          <w:rFonts w:eastAsia="等线" w:ascii="Arial" w:cs="Arial" w:hAnsi="Arial"/>
          <w:b w:val="true"/>
          <w:sz w:val="36"/>
        </w:rPr>
        <w:t>八、附则</w:t>
      </w:r>
      <w:bookmarkEnd w:id="29"/>
    </w:p>
    <w:p>
      <w:pPr>
        <w:spacing w:before="120" w:after="120" w:line="288" w:lineRule="auto"/>
        <w:ind w:left="0"/>
        <w:jc w:val="left"/>
      </w:pPr>
      <w:r>
        <w:rPr>
          <w:rFonts w:eastAsia="等线" w:ascii="Arial" w:cs="Arial" w:hAnsi="Arial"/>
          <w:sz w:val="22"/>
        </w:rPr>
        <w:t>1. 本手册将根据校长端功能更新、校区运营需求优化，更新后通过服务号推送通知，更新内容自动替代原有条款。</w:t>
      </w:r>
    </w:p>
    <w:p>
      <w:pPr>
        <w:spacing w:before="120" w:after="120" w:line="288" w:lineRule="auto"/>
        <w:ind w:left="0"/>
        <w:jc w:val="left"/>
      </w:pPr>
      <w:r>
        <w:rPr>
          <w:rFonts w:eastAsia="等线" w:ascii="Arial" w:cs="Arial" w:hAnsi="Arial"/>
          <w:sz w:val="22"/>
        </w:rPr>
        <w:t>2. 校长及授权管理人员使用校长端，即视为认可本手册所有约定，违反规范造成校区损失的，由相关责任人承担。</w:t>
      </w:r>
    </w:p>
    <w:p>
      <w:pPr>
        <w:spacing w:before="120" w:after="120" w:line="288" w:lineRule="auto"/>
        <w:ind w:left="0"/>
        <w:jc w:val="left"/>
      </w:pPr>
      <w:r>
        <w:rPr>
          <w:rFonts w:eastAsia="等线" w:ascii="Arial" w:cs="Arial" w:hAnsi="Arial"/>
          <w:sz w:val="22"/>
        </w:rPr>
        <w:t>3. 本手册最终解释权归简思未来学习中心及合作教培机构所有。</w:t>
      </w:r>
    </w:p>
    <w:p>
      <w:pPr>
        <w:spacing w:before="120" w:after="120" w:line="288" w:lineRule="auto"/>
        <w:ind w:left="0"/>
        <w:jc w:val="left"/>
      </w:pPr>
      <w:r>
        <w:rPr>
          <w:rFonts w:eastAsia="等线" w:ascii="Arial" w:cs="Arial" w:hAnsi="Arial"/>
          <w:sz w:val="22"/>
        </w:rPr>
        <w:t>|(注：内容由 AI 生成，请谨慎参考）</w:t>
      </w:r>
    </w:p>
    <w:sectPr>
      <w:footerReference w:type="default" r:id="rId3"/>
      <w:headerReference w:type="default" r:id="rId36"/>
      <w:pgSz w:orient="portrait"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w:p/>
</w:hdr>
</file>

<file path=word/numbering.xml><?xml version="1.0" encoding="utf-8"?>
<w:numbering xmlns:w="http://schemas.openxmlformats.org/wordprocessingml/2006/main">
  <w:abstractNum w:abstractNumId="1348524">
    <w:lvl>
      <w:numFmt w:val="bullet"/>
      <w:suff w:val="tab"/>
      <w:lvlText w:val="•"/>
      <w:rPr>
        <w:color w:val="3370ff"/>
      </w:rPr>
    </w:lvl>
  </w:abstractNum>
  <w:abstractNum w:abstractNumId="1348525">
    <w:lvl>
      <w:numFmt w:val="bullet"/>
      <w:suff w:val="tab"/>
      <w:lvlText w:val="•"/>
      <w:rPr>
        <w:color w:val="3370ff"/>
      </w:rPr>
    </w:lvl>
  </w:abstractNum>
  <w:abstractNum w:abstractNumId="1348526">
    <w:lvl>
      <w:numFmt w:val="bullet"/>
      <w:suff w:val="tab"/>
      <w:lvlText w:val="•"/>
      <w:rPr>
        <w:color w:val="3370ff"/>
      </w:rPr>
    </w:lvl>
  </w:abstractNum>
  <w:abstractNum w:abstractNumId="1348527">
    <w:lvl>
      <w:numFmt w:val="bullet"/>
      <w:suff w:val="tab"/>
      <w:lvlText w:val="•"/>
      <w:rPr>
        <w:color w:val="3370ff"/>
      </w:rPr>
    </w:lvl>
  </w:abstractNum>
  <w:abstractNum w:abstractNumId="1348528">
    <w:lvl>
      <w:start w:val="1"/>
      <w:numFmt w:val="decimal"/>
      <w:suff w:val="tab"/>
      <w:lvlText w:val="%1."/>
      <w:rPr>
        <w:color w:val="3370ff"/>
      </w:rPr>
    </w:lvl>
  </w:abstractNum>
  <w:abstractNum w:abstractNumId="1348529">
    <w:lvl>
      <w:start w:val="2"/>
      <w:numFmt w:val="decimal"/>
      <w:suff w:val="tab"/>
      <w:lvlText w:val="%1."/>
      <w:rPr>
        <w:color w:val="3370ff"/>
      </w:rPr>
    </w:lvl>
  </w:abstractNum>
  <w:abstractNum w:abstractNumId="1348530">
    <w:lvl>
      <w:start w:val="3"/>
      <w:numFmt w:val="decimal"/>
      <w:suff w:val="tab"/>
      <w:lvlText w:val="%1."/>
      <w:rPr>
        <w:color w:val="3370ff"/>
      </w:rPr>
    </w:lvl>
  </w:abstractNum>
  <w:abstractNum w:abstractNumId="1348531">
    <w:lvl>
      <w:numFmt w:val="bullet"/>
      <w:suff w:val="tab"/>
      <w:lvlText w:val="•"/>
      <w:rPr>
        <w:color w:val="3370ff"/>
      </w:rPr>
    </w:lvl>
  </w:abstractNum>
  <w:abstractNum w:abstractNumId="1348532">
    <w:lvl>
      <w:numFmt w:val="bullet"/>
      <w:suff w:val="tab"/>
      <w:lvlText w:val="•"/>
      <w:rPr>
        <w:color w:val="3370ff"/>
      </w:rPr>
    </w:lvl>
  </w:abstractNum>
  <w:abstractNum w:abstractNumId="1348533">
    <w:lvl>
      <w:numFmt w:val="bullet"/>
      <w:suff w:val="tab"/>
      <w:lvlText w:val="•"/>
      <w:rPr>
        <w:color w:val="3370ff"/>
      </w:rPr>
    </w:lvl>
  </w:abstractNum>
  <w:abstractNum w:abstractNumId="1348534">
    <w:lvl>
      <w:numFmt w:val="bullet"/>
      <w:suff w:val="tab"/>
      <w:lvlText w:val="•"/>
      <w:rPr>
        <w:color w:val="3370ff"/>
      </w:rPr>
    </w:lvl>
  </w:abstractNum>
  <w:abstractNum w:abstractNumId="1348535">
    <w:lvl>
      <w:numFmt w:val="bullet"/>
      <w:suff w:val="tab"/>
      <w:lvlText w:val="•"/>
      <w:rPr>
        <w:color w:val="3370ff"/>
      </w:rPr>
    </w:lvl>
  </w:abstractNum>
  <w:abstractNum w:abstractNumId="1348536">
    <w:lvl>
      <w:numFmt w:val="bullet"/>
      <w:suff w:val="tab"/>
      <w:lvlText w:val="•"/>
      <w:rPr>
        <w:color w:val="3370ff"/>
      </w:rPr>
    </w:lvl>
  </w:abstractNum>
  <w:abstractNum w:abstractNumId="1348537">
    <w:lvl>
      <w:numFmt w:val="bullet"/>
      <w:suff w:val="tab"/>
      <w:lvlText w:val="•"/>
      <w:rPr>
        <w:color w:val="3370ff"/>
      </w:rPr>
    </w:lvl>
  </w:abstractNum>
  <w:abstractNum w:abstractNumId="1348538">
    <w:lvl>
      <w:numFmt w:val="bullet"/>
      <w:suff w:val="tab"/>
      <w:lvlText w:val="•"/>
      <w:rPr>
        <w:color w:val="3370ff"/>
      </w:rPr>
    </w:lvl>
  </w:abstractNum>
  <w:abstractNum w:abstractNumId="1348539">
    <w:lvl>
      <w:numFmt w:val="bullet"/>
      <w:suff w:val="tab"/>
      <w:lvlText w:val="￮"/>
      <w:rPr>
        <w:color w:val="3370ff"/>
      </w:rPr>
    </w:lvl>
  </w:abstractNum>
  <w:abstractNum w:abstractNumId="1348540">
    <w:lvl>
      <w:numFmt w:val="bullet"/>
      <w:suff w:val="tab"/>
      <w:lvlText w:val="￮"/>
      <w:rPr>
        <w:color w:val="3370ff"/>
      </w:rPr>
    </w:lvl>
  </w:abstractNum>
  <w:abstractNum w:abstractNumId="1348541">
    <w:lvl>
      <w:numFmt w:val="bullet"/>
      <w:suff w:val="tab"/>
      <w:lvlText w:val="￮"/>
      <w:rPr>
        <w:color w:val="3370ff"/>
      </w:rPr>
    </w:lvl>
  </w:abstractNum>
  <w:abstractNum w:abstractNumId="1348542">
    <w:lvl>
      <w:numFmt w:val="bullet"/>
      <w:suff w:val="tab"/>
      <w:lvlText w:val="￮"/>
      <w:rPr>
        <w:color w:val="3370ff"/>
      </w:rPr>
    </w:lvl>
  </w:abstractNum>
  <w:abstractNum w:abstractNumId="1348543">
    <w:lvl>
      <w:numFmt w:val="bullet"/>
      <w:suff w:val="tab"/>
      <w:lvlText w:val="￮"/>
      <w:rPr>
        <w:color w:val="3370ff"/>
      </w:rPr>
    </w:lvl>
  </w:abstractNum>
  <w:abstractNum w:abstractNumId="1348544">
    <w:lvl>
      <w:numFmt w:val="bullet"/>
      <w:suff w:val="tab"/>
      <w:lvlText w:val="•"/>
      <w:rPr>
        <w:color w:val="3370ff"/>
      </w:rPr>
    </w:lvl>
  </w:abstractNum>
  <w:abstractNum w:abstractNumId="1348545">
    <w:lvl>
      <w:numFmt w:val="bullet"/>
      <w:suff w:val="tab"/>
      <w:lvlText w:val="•"/>
      <w:rPr>
        <w:color w:val="3370ff"/>
      </w:rPr>
    </w:lvl>
  </w:abstractNum>
  <w:abstractNum w:abstractNumId="1348546">
    <w:lvl>
      <w:numFmt w:val="bullet"/>
      <w:suff w:val="tab"/>
      <w:lvlText w:val="•"/>
      <w:rPr>
        <w:color w:val="3370ff"/>
      </w:rPr>
    </w:lvl>
  </w:abstractNum>
  <w:abstractNum w:abstractNumId="1348547">
    <w:lvl>
      <w:numFmt w:val="bullet"/>
      <w:suff w:val="tab"/>
      <w:lvlText w:val="•"/>
      <w:rPr>
        <w:color w:val="3370ff"/>
      </w:rPr>
    </w:lvl>
  </w:abstractNum>
  <w:abstractNum w:abstractNumId="1348548">
    <w:lvl>
      <w:numFmt w:val="bullet"/>
      <w:suff w:val="tab"/>
      <w:lvlText w:val="•"/>
      <w:rPr>
        <w:color w:val="3370ff"/>
      </w:rPr>
    </w:lvl>
  </w:abstractNum>
  <w:abstractNum w:abstractNumId="1348549">
    <w:lvl>
      <w:numFmt w:val="bullet"/>
      <w:suff w:val="tab"/>
      <w:lvlText w:val="•"/>
      <w:rPr>
        <w:color w:val="3370ff"/>
      </w:rPr>
    </w:lvl>
  </w:abstractNum>
  <w:abstractNum w:abstractNumId="1348550">
    <w:lvl>
      <w:numFmt w:val="bullet"/>
      <w:suff w:val="tab"/>
      <w:lvlText w:val="•"/>
      <w:rPr>
        <w:color w:val="3370ff"/>
      </w:rPr>
    </w:lvl>
  </w:abstractNum>
  <w:abstractNum w:abstractNumId="1348551">
    <w:lvl>
      <w:numFmt w:val="bullet"/>
      <w:suff w:val="tab"/>
      <w:lvlText w:val="•"/>
      <w:rPr>
        <w:color w:val="3370ff"/>
      </w:rPr>
    </w:lvl>
  </w:abstractNum>
  <w:abstractNum w:abstractNumId="1348552">
    <w:lvl>
      <w:numFmt w:val="bullet"/>
      <w:suff w:val="tab"/>
      <w:lvlText w:val="•"/>
      <w:rPr>
        <w:color w:val="3370ff"/>
      </w:rPr>
    </w:lvl>
  </w:abstractNum>
  <w:abstractNum w:abstractNumId="1348553">
    <w:lvl>
      <w:numFmt w:val="bullet"/>
      <w:suff w:val="tab"/>
      <w:lvlText w:val="•"/>
      <w:rPr>
        <w:color w:val="3370ff"/>
      </w:rPr>
    </w:lvl>
  </w:abstractNum>
  <w:abstractNum w:abstractNumId="1348554">
    <w:lvl>
      <w:numFmt w:val="bullet"/>
      <w:suff w:val="tab"/>
      <w:lvlText w:val="•"/>
      <w:rPr>
        <w:color w:val="3370ff"/>
      </w:rPr>
    </w:lvl>
  </w:abstractNum>
  <w:abstractNum w:abstractNumId="1348555">
    <w:lvl>
      <w:numFmt w:val="bullet"/>
      <w:suff w:val="tab"/>
      <w:lvlText w:val="•"/>
      <w:rPr>
        <w:color w:val="3370ff"/>
      </w:rPr>
    </w:lvl>
  </w:abstractNum>
  <w:abstractNum w:abstractNumId="1348556">
    <w:lvl>
      <w:start w:val="1"/>
      <w:numFmt w:val="decimal"/>
      <w:suff w:val="tab"/>
      <w:lvlText w:val="%1."/>
      <w:rPr>
        <w:color w:val="3370ff"/>
      </w:rPr>
    </w:lvl>
  </w:abstractNum>
  <w:abstractNum w:abstractNumId="1348557">
    <w:lvl>
      <w:start w:val="2"/>
      <w:numFmt w:val="decimal"/>
      <w:suff w:val="tab"/>
      <w:lvlText w:val="%1."/>
      <w:rPr>
        <w:color w:val="3370ff"/>
      </w:rPr>
    </w:lvl>
  </w:abstractNum>
  <w:abstractNum w:abstractNumId="1348558">
    <w:lvl>
      <w:start w:val="3"/>
      <w:numFmt w:val="decimal"/>
      <w:suff w:val="tab"/>
      <w:lvlText w:val="%1."/>
      <w:rPr>
        <w:color w:val="3370ff"/>
      </w:rPr>
    </w:lvl>
  </w:abstractNum>
  <w:abstractNum w:abstractNumId="1348559">
    <w:lvl>
      <w:start w:val="1"/>
      <w:numFmt w:val="decimal"/>
      <w:suff w:val="tab"/>
      <w:lvlText w:val="%1."/>
      <w:rPr>
        <w:color w:val="3370ff"/>
      </w:rPr>
    </w:lvl>
  </w:abstractNum>
  <w:abstractNum w:abstractNumId="1348560">
    <w:lvl>
      <w:start w:val="2"/>
      <w:numFmt w:val="decimal"/>
      <w:suff w:val="tab"/>
      <w:lvlText w:val="%1."/>
      <w:rPr>
        <w:color w:val="3370ff"/>
      </w:rPr>
    </w:lvl>
  </w:abstractNum>
  <w:abstractNum w:abstractNumId="1348561">
    <w:lvl>
      <w:start w:val="3"/>
      <w:numFmt w:val="decimal"/>
      <w:suff w:val="tab"/>
      <w:lvlText w:val="%1."/>
      <w:rPr>
        <w:color w:val="3370ff"/>
      </w:rPr>
    </w:lvl>
  </w:abstractNum>
  <w:abstractNum w:abstractNumId="1348562">
    <w:lvl>
      <w:start w:val="1"/>
      <w:numFmt w:val="decimal"/>
      <w:suff w:val="tab"/>
      <w:lvlText w:val="%1."/>
      <w:rPr>
        <w:color w:val="3370ff"/>
      </w:rPr>
    </w:lvl>
  </w:abstractNum>
  <w:abstractNum w:abstractNumId="1348563">
    <w:lvl>
      <w:start w:val="2"/>
      <w:numFmt w:val="decimal"/>
      <w:suff w:val="tab"/>
      <w:lvlText w:val="%1."/>
      <w:rPr>
        <w:color w:val="3370ff"/>
      </w:rPr>
    </w:lvl>
  </w:abstractNum>
  <w:abstractNum w:abstractNumId="1348564">
    <w:lvl>
      <w:start w:val="3"/>
      <w:numFmt w:val="decimal"/>
      <w:suff w:val="tab"/>
      <w:lvlText w:val="%1."/>
      <w:rPr>
        <w:color w:val="3370ff"/>
      </w:rPr>
    </w:lvl>
  </w:abstractNum>
  <w:abstractNum w:abstractNumId="1348565">
    <w:lvl>
      <w:start w:val="1"/>
      <w:numFmt w:val="decimal"/>
      <w:suff w:val="tab"/>
      <w:lvlText w:val="%1."/>
      <w:rPr>
        <w:color w:val="3370ff"/>
      </w:rPr>
    </w:lvl>
  </w:abstractNum>
  <w:abstractNum w:abstractNumId="1348566">
    <w:lvl>
      <w:start w:val="2"/>
      <w:numFmt w:val="decimal"/>
      <w:suff w:val="tab"/>
      <w:lvlText w:val="%1."/>
      <w:rPr>
        <w:color w:val="3370ff"/>
      </w:rPr>
    </w:lvl>
  </w:abstractNum>
  <w:abstractNum w:abstractNumId="1348567">
    <w:lvl>
      <w:numFmt w:val="bullet"/>
      <w:suff w:val="tab"/>
      <w:lvlText w:val="•"/>
      <w:rPr>
        <w:color w:val="3370ff"/>
      </w:rPr>
    </w:lvl>
  </w:abstractNum>
  <w:abstractNum w:abstractNumId="1348568">
    <w:lvl>
      <w:numFmt w:val="bullet"/>
      <w:suff w:val="tab"/>
      <w:lvlText w:val="•"/>
      <w:rPr>
        <w:color w:val="3370ff"/>
      </w:rPr>
    </w:lvl>
  </w:abstractNum>
  <w:abstractNum w:abstractNumId="1348569">
    <w:lvl>
      <w:numFmt w:val="bullet"/>
      <w:suff w:val="tab"/>
      <w:lvlText w:val="•"/>
      <w:rPr>
        <w:color w:val="3370ff"/>
      </w:rPr>
    </w:lvl>
  </w:abstractNum>
  <w:abstractNum w:abstractNumId="1348570">
    <w:lvl>
      <w:numFmt w:val="bullet"/>
      <w:suff w:val="tab"/>
      <w:lvlText w:val="•"/>
      <w:rPr>
        <w:color w:val="3370ff"/>
      </w:rPr>
    </w:lvl>
  </w:abstractNum>
  <w:abstractNum w:abstractNumId="1348571">
    <w:lvl>
      <w:numFmt w:val="bullet"/>
      <w:suff w:val="tab"/>
      <w:lvlText w:val="•"/>
      <w:rPr>
        <w:color w:val="3370ff"/>
      </w:rPr>
    </w:lvl>
  </w:abstractNum>
  <w:abstractNum w:abstractNumId="1348572">
    <w:lvl>
      <w:numFmt w:val="bullet"/>
      <w:suff w:val="tab"/>
      <w:lvlText w:val="•"/>
      <w:rPr>
        <w:color w:val="3370ff"/>
      </w:rPr>
    </w:lvl>
  </w:abstractNum>
  <w:abstractNum w:abstractNumId="1348573">
    <w:lvl>
      <w:numFmt w:val="bullet"/>
      <w:suff w:val="tab"/>
      <w:lvlText w:val="•"/>
      <w:rPr>
        <w:color w:val="3370ff"/>
      </w:rPr>
    </w:lvl>
  </w:abstractNum>
  <w:abstractNum w:abstractNumId="1348574">
    <w:lvl>
      <w:numFmt w:val="bullet"/>
      <w:suff w:val="tab"/>
      <w:lvlText w:val="•"/>
      <w:rPr>
        <w:color w:val="3370ff"/>
      </w:rPr>
    </w:lvl>
  </w:abstractNum>
  <w:abstractNum w:abstractNumId="1348575">
    <w:lvl>
      <w:numFmt w:val="bullet"/>
      <w:suff w:val="tab"/>
      <w:lvlText w:val="•"/>
      <w:rPr>
        <w:color w:val="3370ff"/>
      </w:rPr>
    </w:lvl>
  </w:abstractNum>
  <w:abstractNum w:abstractNumId="1348576">
    <w:lvl>
      <w:numFmt w:val="bullet"/>
      <w:suff w:val="tab"/>
      <w:lvlText w:val="•"/>
      <w:rPr>
        <w:color w:val="3370ff"/>
      </w:rPr>
    </w:lvl>
  </w:abstractNum>
  <w:abstractNum w:abstractNumId="1348577">
    <w:lvl>
      <w:numFmt w:val="bullet"/>
      <w:suff w:val="tab"/>
      <w:lvlText w:val="•"/>
      <w:rPr>
        <w:color w:val="3370ff"/>
      </w:rPr>
    </w:lvl>
  </w:abstractNum>
  <w:abstractNum w:abstractNumId="1348578">
    <w:lvl>
      <w:start w:val="1"/>
      <w:numFmt w:val="decimal"/>
      <w:suff w:val="tab"/>
      <w:lvlText w:val="%1."/>
      <w:rPr>
        <w:color w:val="3370ff"/>
      </w:rPr>
    </w:lvl>
  </w:abstractNum>
  <w:abstractNum w:abstractNumId="1348579">
    <w:lvl>
      <w:start w:val="2"/>
      <w:numFmt w:val="decimal"/>
      <w:suff w:val="tab"/>
      <w:lvlText w:val="%1."/>
      <w:rPr>
        <w:color w:val="3370ff"/>
      </w:rPr>
    </w:lvl>
  </w:abstractNum>
  <w:abstractNum w:abstractNumId="1348580">
    <w:lvl>
      <w:start w:val="3"/>
      <w:numFmt w:val="decimal"/>
      <w:suff w:val="tab"/>
      <w:lvlText w:val="%1."/>
      <w:rPr>
        <w:color w:val="3370ff"/>
      </w:rPr>
    </w:lvl>
  </w:abstractNum>
  <w:abstractNum w:abstractNumId="1348581">
    <w:lvl>
      <w:start w:val="4"/>
      <w:numFmt w:val="decimal"/>
      <w:suff w:val="tab"/>
      <w:lvlText w:val="%1."/>
      <w:rPr>
        <w:color w:val="3370ff"/>
      </w:rPr>
    </w:lvl>
  </w:abstractNum>
  <w:abstractNum w:abstractNumId="1348582">
    <w:lvl>
      <w:numFmt w:val="bullet"/>
      <w:suff w:val="tab"/>
      <w:lvlText w:val="•"/>
      <w:rPr>
        <w:color w:val="3370ff"/>
      </w:rPr>
    </w:lvl>
  </w:abstractNum>
  <w:num w:numId="1">
    <w:abstractNumId w:val="1348524"/>
  </w:num>
  <w:num w:numId="2">
    <w:abstractNumId w:val="1348525"/>
  </w:num>
  <w:num w:numId="3">
    <w:abstractNumId w:val="1348526"/>
  </w:num>
  <w:num w:numId="4">
    <w:abstractNumId w:val="1348527"/>
  </w:num>
  <w:num w:numId="5">
    <w:abstractNumId w:val="1348528"/>
  </w:num>
  <w:num w:numId="6">
    <w:abstractNumId w:val="1348529"/>
  </w:num>
  <w:num w:numId="7">
    <w:abstractNumId w:val="1348530"/>
  </w:num>
  <w:num w:numId="8">
    <w:abstractNumId w:val="1348531"/>
  </w:num>
  <w:num w:numId="9">
    <w:abstractNumId w:val="1348532"/>
  </w:num>
  <w:num w:numId="10">
    <w:abstractNumId w:val="1348533"/>
  </w:num>
  <w:num w:numId="11">
    <w:abstractNumId w:val="1348534"/>
  </w:num>
  <w:num w:numId="12">
    <w:abstractNumId w:val="1348535"/>
  </w:num>
  <w:num w:numId="13">
    <w:abstractNumId w:val="1348536"/>
  </w:num>
  <w:num w:numId="14">
    <w:abstractNumId w:val="1348537"/>
  </w:num>
  <w:num w:numId="15">
    <w:abstractNumId w:val="1348538"/>
  </w:num>
  <w:num w:numId="16">
    <w:abstractNumId w:val="1348539"/>
  </w:num>
  <w:num w:numId="17">
    <w:abstractNumId w:val="1348540"/>
  </w:num>
  <w:num w:numId="18">
    <w:abstractNumId w:val="1348541"/>
  </w:num>
  <w:num w:numId="19">
    <w:abstractNumId w:val="1348542"/>
  </w:num>
  <w:num w:numId="20">
    <w:abstractNumId w:val="1348543"/>
  </w:num>
  <w:num w:numId="21">
    <w:abstractNumId w:val="1348544"/>
  </w:num>
  <w:num w:numId="22">
    <w:abstractNumId w:val="1348545"/>
  </w:num>
  <w:num w:numId="23">
    <w:abstractNumId w:val="1348546"/>
  </w:num>
  <w:num w:numId="24">
    <w:abstractNumId w:val="1348547"/>
  </w:num>
  <w:num w:numId="25">
    <w:abstractNumId w:val="1348548"/>
  </w:num>
  <w:num w:numId="26">
    <w:abstractNumId w:val="1348549"/>
  </w:num>
  <w:num w:numId="27">
    <w:abstractNumId w:val="1348550"/>
  </w:num>
  <w:num w:numId="28">
    <w:abstractNumId w:val="1348551"/>
  </w:num>
  <w:num w:numId="29">
    <w:abstractNumId w:val="1348552"/>
  </w:num>
  <w:num w:numId="30">
    <w:abstractNumId w:val="1348553"/>
  </w:num>
  <w:num w:numId="31">
    <w:abstractNumId w:val="1348554"/>
  </w:num>
  <w:num w:numId="32">
    <w:abstractNumId w:val="1348555"/>
  </w:num>
  <w:num w:numId="33">
    <w:abstractNumId w:val="1348556"/>
  </w:num>
  <w:num w:numId="34">
    <w:abstractNumId w:val="1348557"/>
  </w:num>
  <w:num w:numId="35">
    <w:abstractNumId w:val="1348558"/>
  </w:num>
  <w:num w:numId="36">
    <w:abstractNumId w:val="1348559"/>
  </w:num>
  <w:num w:numId="37">
    <w:abstractNumId w:val="1348560"/>
  </w:num>
  <w:num w:numId="38">
    <w:abstractNumId w:val="1348561"/>
  </w:num>
  <w:num w:numId="39">
    <w:abstractNumId w:val="1348562"/>
  </w:num>
  <w:num w:numId="40">
    <w:abstractNumId w:val="1348563"/>
  </w:num>
  <w:num w:numId="41">
    <w:abstractNumId w:val="1348564"/>
  </w:num>
  <w:num w:numId="42">
    <w:abstractNumId w:val="1348565"/>
  </w:num>
  <w:num w:numId="43">
    <w:abstractNumId w:val="1348566"/>
  </w:num>
  <w:num w:numId="44">
    <w:abstractNumId w:val="1348567"/>
  </w:num>
  <w:num w:numId="45">
    <w:abstractNumId w:val="1348568"/>
  </w:num>
  <w:num w:numId="46">
    <w:abstractNumId w:val="1348569"/>
  </w:num>
  <w:num w:numId="47">
    <w:abstractNumId w:val="1348570"/>
  </w:num>
  <w:num w:numId="48">
    <w:abstractNumId w:val="1348571"/>
  </w:num>
  <w:num w:numId="49">
    <w:abstractNumId w:val="1348572"/>
  </w:num>
  <w:num w:numId="50">
    <w:abstractNumId w:val="1348573"/>
  </w:num>
  <w:num w:numId="51">
    <w:abstractNumId w:val="1348574"/>
  </w:num>
  <w:num w:numId="52">
    <w:abstractNumId w:val="1348575"/>
  </w:num>
  <w:num w:numId="53">
    <w:abstractNumId w:val="1348576"/>
  </w:num>
  <w:num w:numId="54">
    <w:abstractNumId w:val="1348577"/>
  </w:num>
  <w:num w:numId="55">
    <w:abstractNumId w:val="1348578"/>
  </w:num>
  <w:num w:numId="56">
    <w:abstractNumId w:val="1348579"/>
  </w:num>
  <w:num w:numId="57">
    <w:abstractNumId w:val="1348580"/>
  </w:num>
  <w:num w:numId="58">
    <w:abstractNumId w:val="1348581"/>
  </w:num>
  <w:num w:numId="59">
    <w:abstractNumId w:val="1348582"/>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6.png" Type="http://schemas.openxmlformats.org/officeDocument/2006/relationships/image"/><Relationship Id="rId11" Target="media/image7.png" Type="http://schemas.openxmlformats.org/officeDocument/2006/relationships/image"/><Relationship Id="rId12" Target="media/image8.jpeg" Type="http://schemas.openxmlformats.org/officeDocument/2006/relationships/image"/><Relationship Id="rId13" Target="media/image9.png" Type="http://schemas.openxmlformats.org/officeDocument/2006/relationships/image"/><Relationship Id="rId14" Target="media/image10.png" Type="http://schemas.openxmlformats.org/officeDocument/2006/relationships/image"/><Relationship Id="rId15" Target="media/image11.jpeg" Type="http://schemas.openxmlformats.org/officeDocument/2006/relationships/image"/><Relationship Id="rId16" Target="media/image12.png" Type="http://schemas.openxmlformats.org/officeDocument/2006/relationships/image"/><Relationship Id="rId17" Target="media/image13.jpeg" Type="http://schemas.openxmlformats.org/officeDocument/2006/relationships/image"/><Relationship Id="rId18" Target="media/image14.png" Type="http://schemas.openxmlformats.org/officeDocument/2006/relationships/image"/><Relationship Id="rId19" Target="media/image15.png" Type="http://schemas.openxmlformats.org/officeDocument/2006/relationships/image"/><Relationship Id="rId2" Target="styles.xml" Type="http://schemas.openxmlformats.org/officeDocument/2006/relationships/styles"/><Relationship Id="rId20" Target="media/image16.png" Type="http://schemas.openxmlformats.org/officeDocument/2006/relationships/image"/><Relationship Id="rId21" Target="media/image17.jpeg" Type="http://schemas.openxmlformats.org/officeDocument/2006/relationships/image"/><Relationship Id="rId22" Target="media/image18.png" Type="http://schemas.openxmlformats.org/officeDocument/2006/relationships/image"/><Relationship Id="rId23" Target="media/image19.jpeg" Type="http://schemas.openxmlformats.org/officeDocument/2006/relationships/image"/><Relationship Id="rId24" Target="media/image20.png" Type="http://schemas.openxmlformats.org/officeDocument/2006/relationships/image"/><Relationship Id="rId25" Target="media/image21.jpeg" Type="http://schemas.openxmlformats.org/officeDocument/2006/relationships/image"/><Relationship Id="rId26" Target="media/image22.png" Type="http://schemas.openxmlformats.org/officeDocument/2006/relationships/image"/><Relationship Id="rId27" Target="media/image23.jpeg" Type="http://schemas.openxmlformats.org/officeDocument/2006/relationships/image"/><Relationship Id="rId28" Target="media/image24.jpeg" Type="http://schemas.openxmlformats.org/officeDocument/2006/relationships/image"/><Relationship Id="rId29" Target="media/image25.png" Type="http://schemas.openxmlformats.org/officeDocument/2006/relationships/image"/><Relationship Id="rId3" Target="footer1.xml" Type="http://schemas.openxmlformats.org/officeDocument/2006/relationships/footer"/><Relationship Id="rId30" Target="media/image26.jpeg" Type="http://schemas.openxmlformats.org/officeDocument/2006/relationships/image"/><Relationship Id="rId31" Target="media/image27.png" Type="http://schemas.openxmlformats.org/officeDocument/2006/relationships/image"/><Relationship Id="rId32" Target="media/image28.png" Type="http://schemas.openxmlformats.org/officeDocument/2006/relationships/image"/><Relationship Id="rId33" Target="media/image29.png" Type="http://schemas.openxmlformats.org/officeDocument/2006/relationships/image"/><Relationship Id="rId34" Target="media/image30.jpeg" Type="http://schemas.openxmlformats.org/officeDocument/2006/relationships/image"/><Relationship Id="rId35" Target="media/image31.jpeg" Type="http://schemas.openxmlformats.org/officeDocument/2006/relationships/image"/><Relationship Id="rId36" Target="header1.xml" Type="http://schemas.openxmlformats.org/officeDocument/2006/relationships/header"/><Relationship Id="rId4" Target="numbering.xml" Type="http://schemas.openxmlformats.org/officeDocument/2006/relationships/numbering"/><Relationship Id="rId5" Target="media/image1.png" Type="http://schemas.openxmlformats.org/officeDocument/2006/relationships/image"/><Relationship Id="rId6" Target="media/image2.png" Type="http://schemas.openxmlformats.org/officeDocument/2006/relationships/image"/><Relationship Id="rId7" Target="media/image3.png" Type="http://schemas.openxmlformats.org/officeDocument/2006/relationships/image"/><Relationship Id="rId8" Target="media/image4.png" Type="http://schemas.openxmlformats.org/officeDocument/2006/relationships/image"/><Relationship Id="rId9" Target="media/image5.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2026-04-26T09:28:17Z</dcterms:created>
  <dc:creator>Apache POI</dc:creator>
</cp:coreProperties>
</file>